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1C" w:rsidRDefault="003E0C1C" w:rsidP="00805068">
      <w:pPr>
        <w:jc w:val="center"/>
        <w:rPr>
          <w:b/>
        </w:rPr>
      </w:pPr>
      <w:bookmarkStart w:id="0" w:name="_GoBack"/>
      <w:bookmarkEnd w:id="0"/>
      <w:r w:rsidRPr="00E20D50">
        <w:rPr>
          <w:b/>
        </w:rPr>
        <w:t>Sepsis</w:t>
      </w:r>
      <w:r w:rsidR="00B70DCE">
        <w:rPr>
          <w:b/>
        </w:rPr>
        <w:t xml:space="preserve"> HEE update</w:t>
      </w:r>
    </w:p>
    <w:p w:rsidR="00D20FD3" w:rsidRPr="00D20FD3" w:rsidRDefault="00D20FD3" w:rsidP="00D20FD3">
      <w:pPr>
        <w:rPr>
          <w:b/>
        </w:rPr>
      </w:pPr>
      <w:r>
        <w:rPr>
          <w:b/>
        </w:rPr>
        <w:t xml:space="preserve">Ask: </w:t>
      </w:r>
      <w:r>
        <w:t>Please can the AHSN Sepsis Cluster Group</w:t>
      </w:r>
      <w:r w:rsidRPr="00D20FD3">
        <w:t xml:space="preserve"> </w:t>
      </w:r>
      <w:r>
        <w:t xml:space="preserve">members </w:t>
      </w:r>
      <w:r w:rsidRPr="00D20FD3">
        <w:t xml:space="preserve">share these </w:t>
      </w:r>
      <w:r>
        <w:t xml:space="preserve">resources </w:t>
      </w:r>
      <w:r w:rsidRPr="00D20FD3">
        <w:t xml:space="preserve">through your networks, organisations, websites, intranet </w:t>
      </w:r>
      <w:proofErr w:type="spellStart"/>
      <w:r w:rsidRPr="00D20FD3">
        <w:t>etc</w:t>
      </w:r>
      <w:proofErr w:type="spellEnd"/>
      <w:r w:rsidRPr="00D20FD3">
        <w:t xml:space="preserve"> for staff to utilise as part of their learning.</w:t>
      </w:r>
      <w:r>
        <w:rPr>
          <w:b/>
        </w:rPr>
        <w:t xml:space="preserve">  </w:t>
      </w:r>
      <w:r w:rsidRPr="00D20FD3">
        <w:t xml:space="preserve">You can link directly to both the HEE sepsis webpage </w:t>
      </w:r>
      <w:r>
        <w:t>(</w:t>
      </w:r>
      <w:hyperlink r:id="rId5" w:history="1">
        <w:r w:rsidRPr="00EF6037">
          <w:rPr>
            <w:rStyle w:val="Hyperlink"/>
          </w:rPr>
          <w:t>https://hee.nhs.uk/our-work/hospitals-primary-community-care/prevention-public-health-wellbeing/sepsis-awareness</w:t>
        </w:r>
      </w:hyperlink>
      <w:r>
        <w:t xml:space="preserve">) and </w:t>
      </w:r>
      <w:proofErr w:type="spellStart"/>
      <w:r>
        <w:t>eLfH</w:t>
      </w:r>
      <w:proofErr w:type="spellEnd"/>
      <w:r>
        <w:t xml:space="preserve"> webpage (</w:t>
      </w:r>
      <w:hyperlink r:id="rId6" w:history="1">
        <w:r w:rsidRPr="00EF6037">
          <w:rPr>
            <w:rStyle w:val="Hyperlink"/>
          </w:rPr>
          <w:t>http://www.e-lfh.org.uk/programmes/sepsis/</w:t>
        </w:r>
      </w:hyperlink>
      <w:r>
        <w:t xml:space="preserve">). Further work and useful materials will be added and updated via these links.  </w:t>
      </w:r>
    </w:p>
    <w:p w:rsidR="00805068" w:rsidRPr="00805068" w:rsidRDefault="00805068" w:rsidP="00805068">
      <w:pPr>
        <w:rPr>
          <w:b/>
          <w:u w:val="single"/>
        </w:rPr>
      </w:pPr>
      <w:r w:rsidRPr="00805068">
        <w:rPr>
          <w:b/>
          <w:u w:val="single"/>
        </w:rPr>
        <w:t>2015-2016</w:t>
      </w:r>
    </w:p>
    <w:p w:rsidR="00805068" w:rsidRPr="00805068" w:rsidRDefault="00805068" w:rsidP="00805068">
      <w:pPr>
        <w:rPr>
          <w:b/>
          <w:bCs/>
        </w:rPr>
      </w:pPr>
      <w:r>
        <w:rPr>
          <w:b/>
          <w:bCs/>
        </w:rPr>
        <w:t xml:space="preserve">1. </w:t>
      </w:r>
      <w:r w:rsidRPr="00805068">
        <w:rPr>
          <w:b/>
          <w:bCs/>
        </w:rPr>
        <w:t>Think Sepsis: the identification and management of sepsis in primary care</w:t>
      </w:r>
    </w:p>
    <w:p w:rsidR="00805068" w:rsidRPr="00805068" w:rsidRDefault="00805068" w:rsidP="00805068">
      <w:r w:rsidRPr="00805068">
        <w:t xml:space="preserve">This </w:t>
      </w:r>
      <w:hyperlink r:id="rId7" w:history="1">
        <w:r w:rsidRPr="00805068">
          <w:rPr>
            <w:rStyle w:val="Hyperlink"/>
          </w:rPr>
          <w:t>e-learning package</w:t>
        </w:r>
      </w:hyperlink>
      <w:r w:rsidRPr="00805068">
        <w:t xml:space="preserve"> written by a team of general practitioners is aimed at healthcare staff in the community, particularly primary care. The package consists of five modules; the first introductory module is aimed at all healthcare staff in primary care. The remaining four modules are aimed at general practitioners, although will be available to all primary care staff. They cover sepsis in adults, sepsis in children, sepsis in care homes and the frail elderly, and complex safety issues. All modules are freely available on </w:t>
      </w:r>
      <w:hyperlink r:id="rId8" w:history="1">
        <w:r w:rsidRPr="00805068">
          <w:rPr>
            <w:rStyle w:val="Hyperlink"/>
          </w:rPr>
          <w:t>e-Learning for Healthcare</w:t>
        </w:r>
      </w:hyperlink>
      <w:r w:rsidRPr="00805068">
        <w:t>.</w:t>
      </w:r>
    </w:p>
    <w:p w:rsidR="00805068" w:rsidRPr="00805068" w:rsidRDefault="00805068" w:rsidP="00805068">
      <w:pPr>
        <w:rPr>
          <w:b/>
          <w:bCs/>
        </w:rPr>
      </w:pPr>
      <w:r w:rsidRPr="00805068">
        <w:rPr>
          <w:b/>
        </w:rPr>
        <w:t>2.</w:t>
      </w:r>
      <w:r>
        <w:t xml:space="preserve"> </w:t>
      </w:r>
      <w:r w:rsidRPr="00805068">
        <w:rPr>
          <w:b/>
          <w:bCs/>
        </w:rPr>
        <w:t>Think Sepsis: Identifying and managing sepsis in paediatrics</w:t>
      </w:r>
    </w:p>
    <w:p w:rsidR="00805068" w:rsidRPr="00805068" w:rsidRDefault="00805068" w:rsidP="00805068">
      <w:r w:rsidRPr="00805068">
        <w:t xml:space="preserve">This educational </w:t>
      </w:r>
      <w:hyperlink r:id="rId9" w:history="1">
        <w:r w:rsidRPr="00805068">
          <w:rPr>
            <w:rStyle w:val="Hyperlink"/>
          </w:rPr>
          <w:t>video</w:t>
        </w:r>
      </w:hyperlink>
      <w:r w:rsidRPr="00805068">
        <w:t xml:space="preserve"> features eminent clinicians and the parents of a toddler who died from sepsis in 2011. The video aims to raise awareness of sepsis in children amongst the healthcare community, help them to recognise the signs of sepsis in children, and understand the initial management steps to be taken in the community and secondary care settings. The video directs healthcare staff to appropriate </w:t>
      </w:r>
      <w:hyperlink r:id="rId10" w:history="1">
        <w:r w:rsidRPr="00805068">
          <w:rPr>
            <w:rStyle w:val="Hyperlink"/>
          </w:rPr>
          <w:t>learning materials</w:t>
        </w:r>
      </w:hyperlink>
      <w:r w:rsidRPr="00805068">
        <w:t xml:space="preserve"> to support their further education and training in the recognition and management of sepsis. The video is freely available to all healthcare staff on a variety of </w:t>
      </w:r>
      <w:hyperlink r:id="rId11" w:history="1">
        <w:r w:rsidRPr="00805068">
          <w:rPr>
            <w:rStyle w:val="Hyperlink"/>
          </w:rPr>
          <w:t>platforms</w:t>
        </w:r>
      </w:hyperlink>
      <w:r w:rsidRPr="00805068">
        <w:t xml:space="preserve">, and has been marketed to clinical trainers and learning leads who will be encouraged to use the video within a group learning environment to facilitate interactive discussion around the issues raised in the video. </w:t>
      </w:r>
    </w:p>
    <w:p w:rsidR="00805068" w:rsidRPr="00805068" w:rsidRDefault="00B70DCE" w:rsidP="00805068">
      <w:pPr>
        <w:rPr>
          <w:b/>
          <w:bCs/>
        </w:rPr>
      </w:pPr>
      <w:r>
        <w:rPr>
          <w:b/>
        </w:rPr>
        <w:t>3</w:t>
      </w:r>
      <w:r w:rsidR="00805068" w:rsidRPr="00805068">
        <w:rPr>
          <w:b/>
        </w:rPr>
        <w:t xml:space="preserve">. </w:t>
      </w:r>
      <w:r w:rsidR="00805068" w:rsidRPr="00805068">
        <w:rPr>
          <w:b/>
          <w:bCs/>
        </w:rPr>
        <w:t>Project Transform: “Sepsis Savvy”</w:t>
      </w:r>
    </w:p>
    <w:p w:rsidR="00805068" w:rsidRPr="00805068" w:rsidRDefault="00805068" w:rsidP="00805068">
      <w:r w:rsidRPr="00805068">
        <w:t xml:space="preserve">Project Transform is an innovative interactive </w:t>
      </w:r>
      <w:hyperlink r:id="rId12" w:history="1">
        <w:r w:rsidRPr="00805068">
          <w:rPr>
            <w:rStyle w:val="Hyperlink"/>
          </w:rPr>
          <w:t>film</w:t>
        </w:r>
      </w:hyperlink>
      <w:r w:rsidRPr="00805068">
        <w:t xml:space="preserve"> about sepsis aimed at all healthcare professionals from all backgrounds and highlights common factors that may delay or hinder the diagnosis and treatment of sepsis.  </w:t>
      </w:r>
      <w:r w:rsidR="002928B6" w:rsidRPr="002928B6">
        <w:t xml:space="preserve">The module is freely available on the UK Sepsis Trust learning </w:t>
      </w:r>
      <w:hyperlink r:id="rId13" w:history="1">
        <w:r w:rsidR="002928B6" w:rsidRPr="002928B6">
          <w:rPr>
            <w:rStyle w:val="Hyperlink"/>
          </w:rPr>
          <w:t>portal</w:t>
        </w:r>
      </w:hyperlink>
      <w:r w:rsidR="002928B6" w:rsidRPr="002928B6">
        <w:t xml:space="preserve">. It was created in conjunction with </w:t>
      </w:r>
      <w:hyperlink r:id="rId14" w:history="1">
        <w:r w:rsidR="002928B6" w:rsidRPr="002928B6">
          <w:rPr>
            <w:rStyle w:val="Hyperlink"/>
          </w:rPr>
          <w:t>The Health Foundation</w:t>
        </w:r>
      </w:hyperlink>
      <w:r w:rsidR="002928B6" w:rsidRPr="002928B6">
        <w:t xml:space="preserve">, the UK Sepsis Trust and </w:t>
      </w:r>
      <w:hyperlink r:id="rId15" w:history="1">
        <w:r w:rsidR="002928B6" w:rsidRPr="002928B6">
          <w:rPr>
            <w:rStyle w:val="Hyperlink"/>
          </w:rPr>
          <w:t>Health Education England</w:t>
        </w:r>
      </w:hyperlink>
      <w:r w:rsidR="002928B6" w:rsidRPr="002928B6">
        <w:t xml:space="preserve">. </w:t>
      </w:r>
    </w:p>
    <w:p w:rsidR="00805068" w:rsidRPr="00805068" w:rsidRDefault="00805068" w:rsidP="00805068">
      <w:pPr>
        <w:rPr>
          <w:b/>
          <w:bCs/>
        </w:rPr>
      </w:pPr>
      <w:r>
        <w:rPr>
          <w:b/>
          <w:bCs/>
        </w:rPr>
        <w:t xml:space="preserve">5. </w:t>
      </w:r>
      <w:r w:rsidRPr="00805068">
        <w:rPr>
          <w:b/>
          <w:bCs/>
        </w:rPr>
        <w:t xml:space="preserve">Sepsis: A </w:t>
      </w:r>
      <w:proofErr w:type="spellStart"/>
      <w:r w:rsidRPr="00805068">
        <w:rPr>
          <w:b/>
          <w:bCs/>
        </w:rPr>
        <w:t>careworker’s</w:t>
      </w:r>
      <w:proofErr w:type="spellEnd"/>
      <w:r w:rsidRPr="00805068">
        <w:rPr>
          <w:b/>
          <w:bCs/>
        </w:rPr>
        <w:t xml:space="preserve"> guide</w:t>
      </w:r>
    </w:p>
    <w:p w:rsidR="00B70DCE" w:rsidRDefault="00805068" w:rsidP="00805068">
      <w:r w:rsidRPr="00805068">
        <w:t>We have been involved in the development of this e-learning module produced by the North West Coast Academic Health Science Network, in collaboration with the UK Sepsis Trust. This module is aimed at care workers in the community and covers an introduction to sepsis, recognition of sepsis, the actions to take if you suspect sepsis, and prevention of sepsis.</w:t>
      </w:r>
    </w:p>
    <w:p w:rsidR="00805068" w:rsidRPr="00805068" w:rsidRDefault="00805068" w:rsidP="00805068">
      <w:pPr>
        <w:rPr>
          <w:b/>
        </w:rPr>
      </w:pPr>
      <w:r w:rsidRPr="00805068">
        <w:t xml:space="preserve"> </w:t>
      </w:r>
      <w:r w:rsidRPr="00805068">
        <w:rPr>
          <w:b/>
        </w:rPr>
        <w:t>6. HEE Report</w:t>
      </w:r>
    </w:p>
    <w:tbl>
      <w:tblPr>
        <w:tblStyle w:val="TableGrid"/>
        <w:tblW w:w="11341" w:type="dxa"/>
        <w:tblInd w:w="-318" w:type="dxa"/>
        <w:tblLayout w:type="fixed"/>
        <w:tblLook w:val="04A0" w:firstRow="1" w:lastRow="0" w:firstColumn="1" w:lastColumn="0" w:noHBand="0" w:noVBand="1"/>
      </w:tblPr>
      <w:tblGrid>
        <w:gridCol w:w="2978"/>
        <w:gridCol w:w="1701"/>
        <w:gridCol w:w="6662"/>
      </w:tblGrid>
      <w:tr w:rsidR="00C74CC8" w:rsidRPr="00C74CC8" w:rsidTr="00C74CC8">
        <w:tc>
          <w:tcPr>
            <w:tcW w:w="2978" w:type="dxa"/>
          </w:tcPr>
          <w:p w:rsidR="00C74CC8" w:rsidRPr="00C74CC8" w:rsidRDefault="00C74CC8" w:rsidP="00C74CC8">
            <w:pPr>
              <w:rPr>
                <w:rFonts w:asciiTheme="minorHAnsi" w:hAnsiTheme="minorHAnsi" w:cstheme="minorHAnsi"/>
                <w:b/>
                <w:sz w:val="22"/>
                <w:szCs w:val="22"/>
              </w:rPr>
            </w:pPr>
            <w:r w:rsidRPr="00C74CC8">
              <w:rPr>
                <w:rFonts w:asciiTheme="minorHAnsi" w:hAnsiTheme="minorHAnsi" w:cstheme="minorHAnsi"/>
                <w:b/>
                <w:sz w:val="22"/>
                <w:szCs w:val="22"/>
              </w:rPr>
              <w:t>Resource</w:t>
            </w:r>
          </w:p>
        </w:tc>
        <w:tc>
          <w:tcPr>
            <w:tcW w:w="1701" w:type="dxa"/>
          </w:tcPr>
          <w:p w:rsidR="00C74CC8" w:rsidRPr="00C74CC8" w:rsidRDefault="00C74CC8" w:rsidP="00C74CC8">
            <w:pPr>
              <w:jc w:val="center"/>
              <w:rPr>
                <w:rFonts w:asciiTheme="minorHAnsi" w:hAnsiTheme="minorHAnsi" w:cstheme="minorHAnsi"/>
                <w:b/>
                <w:sz w:val="22"/>
                <w:szCs w:val="22"/>
              </w:rPr>
            </w:pPr>
            <w:r w:rsidRPr="00C74CC8">
              <w:rPr>
                <w:rFonts w:asciiTheme="minorHAnsi" w:hAnsiTheme="minorHAnsi" w:cstheme="minorHAnsi"/>
                <w:b/>
                <w:sz w:val="22"/>
                <w:szCs w:val="22"/>
              </w:rPr>
              <w:t>Format</w:t>
            </w:r>
          </w:p>
        </w:tc>
        <w:tc>
          <w:tcPr>
            <w:tcW w:w="6662" w:type="dxa"/>
          </w:tcPr>
          <w:p w:rsidR="00C74CC8" w:rsidRPr="00C74CC8" w:rsidRDefault="00C74CC8" w:rsidP="00C74CC8">
            <w:pPr>
              <w:rPr>
                <w:rFonts w:asciiTheme="minorHAnsi" w:hAnsiTheme="minorHAnsi" w:cstheme="minorHAnsi"/>
                <w:b/>
                <w:sz w:val="22"/>
                <w:szCs w:val="22"/>
              </w:rPr>
            </w:pPr>
            <w:r w:rsidRPr="00C74CC8">
              <w:rPr>
                <w:rFonts w:asciiTheme="minorHAnsi" w:hAnsiTheme="minorHAnsi" w:cstheme="minorHAnsi"/>
                <w:b/>
                <w:sz w:val="22"/>
                <w:szCs w:val="22"/>
              </w:rPr>
              <w:t>Suggested audience</w:t>
            </w:r>
          </w:p>
        </w:tc>
      </w:tr>
      <w:tr w:rsidR="00C74CC8" w:rsidRPr="00C74CC8" w:rsidTr="00C74CC8">
        <w:tc>
          <w:tcPr>
            <w:tcW w:w="11341" w:type="dxa"/>
            <w:gridSpan w:val="3"/>
          </w:tcPr>
          <w:p w:rsidR="00C74CC8" w:rsidRPr="00C74CC8" w:rsidRDefault="00C74CC8" w:rsidP="00C74CC8">
            <w:pPr>
              <w:rPr>
                <w:rFonts w:asciiTheme="minorHAnsi" w:hAnsiTheme="minorHAnsi" w:cstheme="minorHAnsi"/>
                <w:b/>
                <w:sz w:val="22"/>
                <w:szCs w:val="22"/>
                <w:u w:val="single"/>
              </w:rPr>
            </w:pPr>
            <w:r w:rsidRPr="00C74CC8">
              <w:rPr>
                <w:rFonts w:asciiTheme="minorHAnsi" w:hAnsiTheme="minorHAnsi" w:cstheme="minorHAnsi"/>
                <w:b/>
                <w:sz w:val="22"/>
                <w:szCs w:val="22"/>
                <w:u w:val="single"/>
              </w:rPr>
              <w:t>Nationally developed resources</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BMJ Learning: Severe sepsis and septic shock</w:t>
            </w:r>
          </w:p>
        </w:tc>
        <w:tc>
          <w:tcPr>
            <w:tcW w:w="1701" w:type="dxa"/>
          </w:tcPr>
          <w:p w:rsidR="00C74CC8" w:rsidRPr="00C74CC8" w:rsidRDefault="00D408DB" w:rsidP="00C74CC8">
            <w:pPr>
              <w:jc w:val="center"/>
              <w:rPr>
                <w:rFonts w:asciiTheme="minorHAnsi" w:hAnsiTheme="minorHAnsi" w:cstheme="minorHAnsi"/>
                <w:sz w:val="22"/>
                <w:szCs w:val="22"/>
              </w:rPr>
            </w:pPr>
            <w:hyperlink r:id="rId16"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Doctors in secondary care involved in the care of adult patients</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Royal College of Physicians: Acute Care Toolkit - Sepsis</w:t>
            </w:r>
          </w:p>
        </w:tc>
        <w:tc>
          <w:tcPr>
            <w:tcW w:w="1701" w:type="dxa"/>
          </w:tcPr>
          <w:p w:rsidR="00C74CC8" w:rsidRPr="00C74CC8" w:rsidRDefault="00D408DB" w:rsidP="00C74CC8">
            <w:pPr>
              <w:jc w:val="center"/>
              <w:rPr>
                <w:rFonts w:asciiTheme="minorHAnsi" w:hAnsiTheme="minorHAnsi" w:cstheme="minorHAnsi"/>
                <w:sz w:val="22"/>
                <w:szCs w:val="22"/>
              </w:rPr>
            </w:pPr>
            <w:hyperlink r:id="rId17"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Doctors in secondary care working in medical specialties. Nurses working in acute medical specialties.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RCEM FOAM network: Sepsis in the Emergency Department</w:t>
            </w:r>
          </w:p>
        </w:tc>
        <w:tc>
          <w:tcPr>
            <w:tcW w:w="1701" w:type="dxa"/>
          </w:tcPr>
          <w:p w:rsidR="00C74CC8" w:rsidRPr="00C74CC8" w:rsidRDefault="00D408DB" w:rsidP="00C74CC8">
            <w:pPr>
              <w:jc w:val="center"/>
              <w:rPr>
                <w:rFonts w:asciiTheme="minorHAnsi" w:hAnsiTheme="minorHAnsi" w:cstheme="minorHAnsi"/>
                <w:sz w:val="22"/>
                <w:szCs w:val="22"/>
              </w:rPr>
            </w:pPr>
            <w:hyperlink r:id="rId18" w:history="1">
              <w:r w:rsidR="00C74CC8" w:rsidRPr="00C74CC8">
                <w:rPr>
                  <w:rFonts w:asciiTheme="minorHAnsi" w:hAnsiTheme="minorHAnsi" w:cstheme="minorHAnsi"/>
                  <w:color w:val="0000FF"/>
                  <w:sz w:val="22"/>
                  <w:szCs w:val="22"/>
                  <w:u w:val="single"/>
                </w:rPr>
                <w:t>Podcast</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Doctors in secondary care working in emergency departments and critical care settings</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The Sepsis Game</w:t>
            </w:r>
          </w:p>
        </w:tc>
        <w:tc>
          <w:tcPr>
            <w:tcW w:w="1701" w:type="dxa"/>
          </w:tcPr>
          <w:p w:rsidR="00C74CC8" w:rsidRPr="00C74CC8" w:rsidRDefault="00D408DB" w:rsidP="00C74CC8">
            <w:pPr>
              <w:jc w:val="center"/>
              <w:rPr>
                <w:rFonts w:asciiTheme="minorHAnsi" w:hAnsiTheme="minorHAnsi" w:cstheme="minorHAnsi"/>
                <w:sz w:val="22"/>
                <w:szCs w:val="22"/>
              </w:rPr>
            </w:pPr>
            <w:hyperlink r:id="rId19" w:history="1">
              <w:r w:rsidR="00C74CC8" w:rsidRPr="00C74CC8">
                <w:rPr>
                  <w:rFonts w:asciiTheme="minorHAnsi" w:hAnsiTheme="minorHAnsi" w:cstheme="minorHAnsi"/>
                  <w:color w:val="0000FF"/>
                  <w:sz w:val="22"/>
                  <w:szCs w:val="22"/>
                  <w:u w:val="single"/>
                </w:rPr>
                <w:t>Board game</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All clinical staff in all settings. An online version of the game </w:t>
            </w:r>
            <w:hyperlink r:id="rId20" w:history="1">
              <w:r w:rsidRPr="00C74CC8">
                <w:rPr>
                  <w:rFonts w:asciiTheme="minorHAnsi" w:hAnsiTheme="minorHAnsi" w:cstheme="minorHAnsi"/>
                  <w:color w:val="0000FF"/>
                  <w:sz w:val="22"/>
                  <w:szCs w:val="22"/>
                  <w:u w:val="single"/>
                </w:rPr>
                <w:t>Sepsis Game App</w:t>
              </w:r>
            </w:hyperlink>
            <w:r w:rsidRPr="00C74CC8">
              <w:rPr>
                <w:rFonts w:asciiTheme="minorHAnsi" w:hAnsiTheme="minorHAnsi" w:cstheme="minorHAnsi"/>
                <w:sz w:val="22"/>
                <w:szCs w:val="22"/>
              </w:rPr>
              <w:t xml:space="preserve"> is also available.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lastRenderedPageBreak/>
              <w:t>BMJ Learning: Sepsis in children</w:t>
            </w:r>
          </w:p>
        </w:tc>
        <w:tc>
          <w:tcPr>
            <w:tcW w:w="1701" w:type="dxa"/>
          </w:tcPr>
          <w:p w:rsidR="00C74CC8" w:rsidRPr="00C74CC8" w:rsidRDefault="00D408DB" w:rsidP="00C74CC8">
            <w:pPr>
              <w:jc w:val="center"/>
              <w:rPr>
                <w:rFonts w:asciiTheme="minorHAnsi" w:hAnsiTheme="minorHAnsi" w:cstheme="minorHAnsi"/>
                <w:sz w:val="22"/>
                <w:szCs w:val="22"/>
              </w:rPr>
            </w:pPr>
            <w:hyperlink r:id="rId21"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Doctors in secondary care involved in the care of paediatric patients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NHS England Re-ACT Talks: Spotting Sepsis in the Sick Child</w:t>
            </w:r>
          </w:p>
        </w:tc>
        <w:tc>
          <w:tcPr>
            <w:tcW w:w="1701" w:type="dxa"/>
          </w:tcPr>
          <w:p w:rsidR="00C74CC8" w:rsidRPr="00C74CC8" w:rsidRDefault="00D408DB" w:rsidP="00C74CC8">
            <w:pPr>
              <w:jc w:val="center"/>
              <w:rPr>
                <w:rFonts w:asciiTheme="minorHAnsi" w:hAnsiTheme="minorHAnsi" w:cstheme="minorHAnsi"/>
                <w:sz w:val="22"/>
                <w:szCs w:val="22"/>
              </w:rPr>
            </w:pPr>
            <w:hyperlink r:id="rId22" w:history="1">
              <w:r w:rsidR="00C74CC8" w:rsidRPr="00C74CC8">
                <w:rPr>
                  <w:rFonts w:asciiTheme="minorHAnsi" w:hAnsiTheme="minorHAnsi" w:cstheme="minorHAnsi"/>
                  <w:color w:val="0000FF"/>
                  <w:sz w:val="22"/>
                  <w:szCs w:val="22"/>
                  <w:u w:val="single"/>
                </w:rPr>
                <w:t>Video</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Doctors and nurses in secondary care involved in the care of paediatric patients</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Spotting the Sick Child: Fever module</w:t>
            </w:r>
          </w:p>
        </w:tc>
        <w:tc>
          <w:tcPr>
            <w:tcW w:w="1701" w:type="dxa"/>
          </w:tcPr>
          <w:p w:rsidR="00C74CC8" w:rsidRPr="00C74CC8" w:rsidRDefault="00D408DB" w:rsidP="00C74CC8">
            <w:pPr>
              <w:jc w:val="center"/>
              <w:rPr>
                <w:rFonts w:asciiTheme="minorHAnsi" w:hAnsiTheme="minorHAnsi" w:cstheme="minorHAnsi"/>
                <w:sz w:val="22"/>
                <w:szCs w:val="22"/>
              </w:rPr>
            </w:pPr>
            <w:hyperlink r:id="rId23"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Doctors and nurses in primary and secondary care involved in the care of paediatric patients</w:t>
            </w:r>
          </w:p>
        </w:tc>
      </w:tr>
      <w:tr w:rsidR="00C74CC8" w:rsidRPr="00C74CC8" w:rsidTr="00C74CC8">
        <w:tc>
          <w:tcPr>
            <w:tcW w:w="11341" w:type="dxa"/>
            <w:gridSpan w:val="3"/>
          </w:tcPr>
          <w:p w:rsidR="00C74CC8" w:rsidRPr="00C74CC8" w:rsidRDefault="00C74CC8" w:rsidP="00C74CC8">
            <w:pPr>
              <w:rPr>
                <w:rFonts w:asciiTheme="minorHAnsi" w:hAnsiTheme="minorHAnsi" w:cstheme="minorHAnsi"/>
                <w:b/>
                <w:i/>
                <w:sz w:val="22"/>
                <w:szCs w:val="22"/>
              </w:rPr>
            </w:pPr>
            <w:r w:rsidRPr="00C74CC8">
              <w:rPr>
                <w:rFonts w:asciiTheme="minorHAnsi" w:hAnsiTheme="minorHAnsi" w:cstheme="minorHAnsi"/>
                <w:b/>
                <w:i/>
                <w:sz w:val="22"/>
                <w:szCs w:val="22"/>
              </w:rPr>
              <w:t xml:space="preserve">HEE’s E-learning for Healthcare resources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Assessment and Differential Diagnosis of sepsis (03_17_01)</w:t>
            </w:r>
          </w:p>
        </w:tc>
        <w:tc>
          <w:tcPr>
            <w:tcW w:w="1701" w:type="dxa"/>
          </w:tcPr>
          <w:p w:rsidR="00C74CC8" w:rsidRPr="00C74CC8" w:rsidRDefault="00D408DB" w:rsidP="00C74CC8">
            <w:pPr>
              <w:jc w:val="center"/>
              <w:rPr>
                <w:rFonts w:asciiTheme="minorHAnsi" w:hAnsiTheme="minorHAnsi" w:cstheme="minorHAnsi"/>
                <w:sz w:val="22"/>
                <w:szCs w:val="22"/>
              </w:rPr>
            </w:pPr>
            <w:hyperlink r:id="rId24"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Doctors and nurses in secondary care</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Management of the septic patient (03_034)</w:t>
            </w:r>
          </w:p>
        </w:tc>
        <w:tc>
          <w:tcPr>
            <w:tcW w:w="1701" w:type="dxa"/>
          </w:tcPr>
          <w:p w:rsidR="00C74CC8" w:rsidRPr="00C74CC8" w:rsidRDefault="00D408DB" w:rsidP="00C74CC8">
            <w:pPr>
              <w:jc w:val="center"/>
              <w:rPr>
                <w:rFonts w:asciiTheme="minorHAnsi" w:hAnsiTheme="minorHAnsi" w:cstheme="minorHAnsi"/>
                <w:sz w:val="22"/>
                <w:szCs w:val="22"/>
              </w:rPr>
            </w:pPr>
            <w:hyperlink r:id="rId25"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Doctors in secondary care. Nursing and pharmacy staff in a critical care environment.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Managing Sepsis (08_09)</w:t>
            </w:r>
          </w:p>
        </w:tc>
        <w:tc>
          <w:tcPr>
            <w:tcW w:w="1701" w:type="dxa"/>
          </w:tcPr>
          <w:p w:rsidR="00C74CC8" w:rsidRPr="00C74CC8" w:rsidRDefault="00D408DB" w:rsidP="00C74CC8">
            <w:pPr>
              <w:jc w:val="center"/>
              <w:rPr>
                <w:rFonts w:asciiTheme="minorHAnsi" w:hAnsiTheme="minorHAnsi" w:cstheme="minorHAnsi"/>
                <w:sz w:val="22"/>
                <w:szCs w:val="22"/>
              </w:rPr>
            </w:pPr>
            <w:hyperlink r:id="rId26"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Foundation programme doctors</w:t>
            </w:r>
          </w:p>
        </w:tc>
      </w:tr>
      <w:tr w:rsidR="00C74CC8" w:rsidRPr="00C74CC8" w:rsidTr="00C74CC8">
        <w:tc>
          <w:tcPr>
            <w:tcW w:w="11341" w:type="dxa"/>
            <w:gridSpan w:val="3"/>
          </w:tcPr>
          <w:p w:rsidR="00C74CC8" w:rsidRPr="00C74CC8" w:rsidRDefault="00C74CC8" w:rsidP="00C74CC8">
            <w:pPr>
              <w:rPr>
                <w:rFonts w:asciiTheme="minorHAnsi" w:hAnsiTheme="minorHAnsi" w:cstheme="minorHAnsi"/>
                <w:b/>
                <w:sz w:val="22"/>
                <w:szCs w:val="22"/>
              </w:rPr>
            </w:pPr>
            <w:r w:rsidRPr="00C74CC8">
              <w:rPr>
                <w:rFonts w:asciiTheme="minorHAnsi" w:hAnsiTheme="minorHAnsi" w:cstheme="minorHAnsi"/>
                <w:b/>
                <w:sz w:val="22"/>
                <w:szCs w:val="22"/>
              </w:rPr>
              <w:t>Locally developed resources</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Royal Bournemouth and Christchurch Hospitals Trust: War on Sepsis – staff training film #1</w:t>
            </w:r>
          </w:p>
        </w:tc>
        <w:tc>
          <w:tcPr>
            <w:tcW w:w="1701" w:type="dxa"/>
          </w:tcPr>
          <w:p w:rsidR="00C74CC8" w:rsidRPr="00C74CC8" w:rsidRDefault="00D408DB" w:rsidP="00C74CC8">
            <w:pPr>
              <w:jc w:val="center"/>
              <w:rPr>
                <w:rFonts w:asciiTheme="minorHAnsi" w:hAnsiTheme="minorHAnsi" w:cstheme="minorHAnsi"/>
                <w:sz w:val="22"/>
                <w:szCs w:val="22"/>
              </w:rPr>
            </w:pPr>
            <w:hyperlink r:id="rId27" w:history="1">
              <w:r w:rsidR="00C74CC8" w:rsidRPr="00C74CC8">
                <w:rPr>
                  <w:rFonts w:asciiTheme="minorHAnsi" w:hAnsiTheme="minorHAnsi" w:cstheme="minorHAnsi"/>
                  <w:color w:val="0000FF"/>
                  <w:sz w:val="22"/>
                  <w:szCs w:val="22"/>
                  <w:u w:val="single"/>
                </w:rPr>
                <w:t>Video</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All clinical staff in secondary care. </w:t>
            </w:r>
          </w:p>
        </w:tc>
      </w:tr>
      <w:tr w:rsidR="00C74CC8" w:rsidRPr="00C74CC8" w:rsidTr="00C74CC8">
        <w:tc>
          <w:tcPr>
            <w:tcW w:w="2978"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University of Nottingham: Sepsis and Sepsis Six </w:t>
            </w:r>
          </w:p>
        </w:tc>
        <w:tc>
          <w:tcPr>
            <w:tcW w:w="1701" w:type="dxa"/>
          </w:tcPr>
          <w:p w:rsidR="00C74CC8" w:rsidRPr="00C74CC8" w:rsidRDefault="00D408DB" w:rsidP="00C74CC8">
            <w:pPr>
              <w:jc w:val="center"/>
              <w:rPr>
                <w:rFonts w:asciiTheme="minorHAnsi" w:hAnsiTheme="minorHAnsi" w:cstheme="minorHAnsi"/>
                <w:sz w:val="22"/>
                <w:szCs w:val="22"/>
              </w:rPr>
            </w:pPr>
            <w:hyperlink r:id="rId28" w:history="1">
              <w:r w:rsidR="00C74CC8" w:rsidRPr="00C74CC8">
                <w:rPr>
                  <w:rFonts w:asciiTheme="minorHAnsi" w:hAnsiTheme="minorHAnsi" w:cstheme="minorHAnsi"/>
                  <w:color w:val="0000FF"/>
                  <w:sz w:val="22"/>
                  <w:szCs w:val="22"/>
                  <w:u w:val="single"/>
                </w:rPr>
                <w:t>E-learning</w:t>
              </w:r>
            </w:hyperlink>
          </w:p>
        </w:tc>
        <w:tc>
          <w:tcPr>
            <w:tcW w:w="6662" w:type="dxa"/>
          </w:tcPr>
          <w:p w:rsidR="00C74CC8" w:rsidRPr="00C74CC8" w:rsidRDefault="00C74CC8" w:rsidP="00C74CC8">
            <w:pPr>
              <w:rPr>
                <w:rFonts w:asciiTheme="minorHAnsi" w:hAnsiTheme="minorHAnsi" w:cstheme="minorHAnsi"/>
                <w:sz w:val="22"/>
                <w:szCs w:val="22"/>
              </w:rPr>
            </w:pPr>
            <w:r w:rsidRPr="00C74CC8">
              <w:rPr>
                <w:rFonts w:asciiTheme="minorHAnsi" w:hAnsiTheme="minorHAnsi" w:cstheme="minorHAnsi"/>
                <w:sz w:val="22"/>
                <w:szCs w:val="22"/>
              </w:rPr>
              <w:t xml:space="preserve">Nursing staff in secondary care </w:t>
            </w:r>
          </w:p>
        </w:tc>
      </w:tr>
    </w:tbl>
    <w:p w:rsidR="00B70DCE" w:rsidRDefault="00B70DCE" w:rsidP="00C74CC8">
      <w:pPr>
        <w:spacing w:after="0"/>
        <w:rPr>
          <w:b/>
          <w:bCs/>
        </w:rPr>
      </w:pPr>
      <w:bookmarkStart w:id="1" w:name="_Toc457577795"/>
    </w:p>
    <w:p w:rsidR="00C74CC8" w:rsidRPr="00C74CC8" w:rsidRDefault="00C74CC8" w:rsidP="00C74CC8">
      <w:pPr>
        <w:spacing w:after="0"/>
        <w:rPr>
          <w:b/>
          <w:bCs/>
        </w:rPr>
      </w:pPr>
      <w:r w:rsidRPr="00C74CC8">
        <w:rPr>
          <w:b/>
          <w:bCs/>
        </w:rPr>
        <w:t>Recommendations</w:t>
      </w:r>
      <w:bookmarkEnd w:id="1"/>
      <w:r w:rsidR="00B70DCE">
        <w:rPr>
          <w:b/>
          <w:bCs/>
        </w:rPr>
        <w:t>:</w:t>
      </w:r>
    </w:p>
    <w:p w:rsidR="00C74CC8" w:rsidRPr="00C74CC8" w:rsidRDefault="00B70DCE" w:rsidP="00C74CC8">
      <w:pPr>
        <w:spacing w:after="0"/>
        <w:rPr>
          <w:b/>
          <w:bCs/>
        </w:rPr>
      </w:pPr>
      <w:r>
        <w:rPr>
          <w:b/>
          <w:bCs/>
        </w:rPr>
        <w:t xml:space="preserve">a) </w:t>
      </w:r>
      <w:r w:rsidR="00C74CC8" w:rsidRPr="00C74CC8">
        <w:rPr>
          <w:b/>
          <w:bCs/>
        </w:rPr>
        <w:t>Health Education England</w:t>
      </w:r>
    </w:p>
    <w:p w:rsidR="00C74CC8" w:rsidRPr="00C74CC8" w:rsidRDefault="00C74CC8" w:rsidP="00C74CC8">
      <w:pPr>
        <w:spacing w:after="0"/>
      </w:pPr>
      <w:r w:rsidRPr="00C74CC8">
        <w:t>1. Develop communication and dissemination strategies to maximise uptake and positive engagement with educational and training resources developed or endorsed by HEE.</w:t>
      </w:r>
    </w:p>
    <w:p w:rsidR="00C74CC8" w:rsidRPr="00C74CC8" w:rsidRDefault="00C74CC8" w:rsidP="00C74CC8">
      <w:pPr>
        <w:spacing w:after="0"/>
      </w:pPr>
      <w:r w:rsidRPr="00C74CC8">
        <w:t>2. Working with the cross-system sepsis programme board, develop  a guide for training providers on updating educational and training resources to align to NICE guidance on sepsis.</w:t>
      </w:r>
    </w:p>
    <w:p w:rsidR="00C74CC8" w:rsidRPr="00C74CC8" w:rsidRDefault="00C74CC8" w:rsidP="00C74CC8">
      <w:pPr>
        <w:spacing w:after="0"/>
      </w:pPr>
      <w:r w:rsidRPr="00C74CC8">
        <w:t>3. Working with the Royal College of General Practitioner’s (RCGP) clinical lead for sepsis and other relevant stakeholders,  undertake the work necessary to ensure the availability of a sepsis educational package for residential and care home staff.</w:t>
      </w:r>
    </w:p>
    <w:p w:rsidR="00C74CC8" w:rsidRPr="00C74CC8" w:rsidRDefault="00C74CC8" w:rsidP="00C74CC8">
      <w:pPr>
        <w:spacing w:after="0"/>
      </w:pPr>
      <w:r w:rsidRPr="00C74CC8">
        <w:t>4. Drawing on HEE’s existing educational and training resources, produce a sepsis educational package targeted at management and executive teams.</w:t>
      </w:r>
    </w:p>
    <w:p w:rsidR="00C74CC8" w:rsidRPr="00C74CC8" w:rsidRDefault="00C74CC8" w:rsidP="00C74CC8">
      <w:pPr>
        <w:spacing w:after="0"/>
      </w:pPr>
      <w:r w:rsidRPr="00C74CC8">
        <w:t xml:space="preserve">5. Consider developing the HEE Quality Framework to encourage the training in relation to the management of acutely deteriorating patients, including patients with sepsis, within the core training of all healthcare staff. </w:t>
      </w:r>
    </w:p>
    <w:p w:rsidR="00C74CC8" w:rsidRPr="00C74CC8" w:rsidRDefault="00C74CC8" w:rsidP="00C74CC8">
      <w:pPr>
        <w:spacing w:after="0"/>
      </w:pPr>
      <w:r w:rsidRPr="00C74CC8">
        <w:t xml:space="preserve">6.  Consider and develop methods for evaluating the resources for sepsis training. </w:t>
      </w:r>
    </w:p>
    <w:p w:rsidR="00C74CC8" w:rsidRPr="00C74CC8" w:rsidRDefault="00C74CC8" w:rsidP="00C74CC8">
      <w:pPr>
        <w:spacing w:after="0"/>
      </w:pPr>
      <w:r w:rsidRPr="00C74CC8">
        <w:t>7. Ensure that training resources and training strategies with proven effectiveness are promoted and shared across the system.</w:t>
      </w:r>
    </w:p>
    <w:p w:rsidR="00C74CC8" w:rsidRPr="00C74CC8" w:rsidRDefault="00C74CC8" w:rsidP="00C74CC8">
      <w:pPr>
        <w:spacing w:after="0"/>
      </w:pPr>
      <w:r w:rsidRPr="00C74CC8">
        <w:t>8.  Work across HEE and with stakeholders to share information about the funding and development of educational and training resources for sepsis at both local and national level. This will help to reduce duplication and improve the quality of resources produced.</w:t>
      </w:r>
    </w:p>
    <w:p w:rsidR="00C74CC8" w:rsidRPr="00C74CC8" w:rsidRDefault="00B70DCE" w:rsidP="00C74CC8">
      <w:pPr>
        <w:spacing w:after="0"/>
        <w:rPr>
          <w:b/>
          <w:bCs/>
        </w:rPr>
      </w:pPr>
      <w:r>
        <w:rPr>
          <w:b/>
          <w:bCs/>
        </w:rPr>
        <w:t xml:space="preserve">b) </w:t>
      </w:r>
      <w:r w:rsidR="00C74CC8" w:rsidRPr="00C74CC8">
        <w:rPr>
          <w:b/>
          <w:bCs/>
        </w:rPr>
        <w:t>Healthcare providers</w:t>
      </w:r>
    </w:p>
    <w:p w:rsidR="00C74CC8" w:rsidRPr="00C74CC8" w:rsidRDefault="00C74CC8" w:rsidP="00C74CC8">
      <w:pPr>
        <w:spacing w:after="0"/>
      </w:pPr>
      <w:r w:rsidRPr="00C74CC8">
        <w:t xml:space="preserve">9. Update all sepsis educational and training resources in accordance with the </w:t>
      </w:r>
      <w:hyperlink r:id="rId29" w:history="1">
        <w:r w:rsidRPr="00C74CC8">
          <w:rPr>
            <w:rStyle w:val="Hyperlink"/>
          </w:rPr>
          <w:t>NICE guidance</w:t>
        </w:r>
      </w:hyperlink>
      <w:r w:rsidRPr="00C74CC8">
        <w:t xml:space="preserve"> for sepsis.</w:t>
      </w:r>
    </w:p>
    <w:p w:rsidR="00C74CC8" w:rsidRPr="00C74CC8" w:rsidRDefault="00C74CC8" w:rsidP="00C74CC8">
      <w:pPr>
        <w:spacing w:after="0"/>
      </w:pPr>
      <w:r w:rsidRPr="00C74CC8">
        <w:t>10. Develop strategies to ensure that all their staff members are trained in the recognition and management of sepsis to a level appropriate for their individual needs.</w:t>
      </w:r>
    </w:p>
    <w:p w:rsidR="00C74CC8" w:rsidRPr="00C74CC8" w:rsidRDefault="00C74CC8" w:rsidP="00C74CC8">
      <w:pPr>
        <w:spacing w:after="0"/>
      </w:pPr>
      <w:r w:rsidRPr="00C74CC8">
        <w:t>11.  Ensure that training reaches all healthcare staff, not just those who are undertaking a formal training programme or attending regular staff inductions, for example consultants, staff grade doctors and associate specialists, nursing staff, allied health professionals and support staff.</w:t>
      </w:r>
    </w:p>
    <w:p w:rsidR="00C74CC8" w:rsidRPr="00C74CC8" w:rsidRDefault="00C74CC8" w:rsidP="00C74CC8">
      <w:pPr>
        <w:spacing w:after="0"/>
      </w:pPr>
      <w:r w:rsidRPr="00C74CC8">
        <w:t>12. Consider introducing ‘sepsis champions’ who take ownership of training strategies and are responsible for their maintenance, development and monitoring of effectiveness. Different trusts will consider different models, for example, the sepsis champion could rotate to different departments on a 6-monthly basis.</w:t>
      </w:r>
    </w:p>
    <w:p w:rsidR="00C74CC8" w:rsidRPr="00C74CC8" w:rsidRDefault="00C74CC8" w:rsidP="00C74CC8">
      <w:pPr>
        <w:spacing w:after="0"/>
      </w:pPr>
      <w:r w:rsidRPr="00C74CC8">
        <w:t>13. As part of sepsis training strategies ensure that methods are in place so that learning around sepsis is sustainable.</w:t>
      </w:r>
    </w:p>
    <w:p w:rsidR="00C74CC8" w:rsidRPr="00C74CC8" w:rsidRDefault="00C74CC8" w:rsidP="00C74CC8">
      <w:pPr>
        <w:spacing w:after="0"/>
      </w:pPr>
      <w:r w:rsidRPr="00C74CC8">
        <w:lastRenderedPageBreak/>
        <w:t>14. Monitor the effects of training strategies on outcomes for patients with sepsis within their organisations.</w:t>
      </w:r>
    </w:p>
    <w:p w:rsidR="00C74CC8" w:rsidRPr="00C74CC8" w:rsidRDefault="00C74CC8" w:rsidP="00C74CC8">
      <w:pPr>
        <w:spacing w:after="0"/>
      </w:pPr>
      <w:r w:rsidRPr="00C74CC8">
        <w:t>15. Where there is proven effectiveness, share good practice in relation to sepsis education and training, both locally and nationally with assistance from HEE.</w:t>
      </w:r>
    </w:p>
    <w:p w:rsidR="00C74CC8" w:rsidRPr="00C74CC8" w:rsidRDefault="00C74CC8" w:rsidP="00C74CC8">
      <w:pPr>
        <w:spacing w:after="0"/>
      </w:pPr>
      <w:r w:rsidRPr="00C74CC8">
        <w:t>16. Ensure that all staff take responsibility for their own learning needs in relation to sepsis and include this in staff appraisals.</w:t>
      </w:r>
    </w:p>
    <w:p w:rsidR="00C74CC8" w:rsidRPr="00C74CC8" w:rsidRDefault="00C74CC8" w:rsidP="00C74CC8">
      <w:pPr>
        <w:spacing w:after="0"/>
      </w:pPr>
      <w:r w:rsidRPr="00C74CC8">
        <w:t>17. Wherever possible, complement on-line sepsis training with interactive elements. For example, this could include encouraging staff to discuss e-learning undertaken at teaching sessions or with a supervisor.</w:t>
      </w:r>
    </w:p>
    <w:p w:rsidR="00C74CC8" w:rsidRPr="00C74CC8" w:rsidRDefault="00C74CC8" w:rsidP="00C74CC8">
      <w:pPr>
        <w:spacing w:after="0"/>
      </w:pPr>
      <w:r w:rsidRPr="00C74CC8">
        <w:t>18. Ensure that serious incidents which relate to sepsis are used as learning opportunities for individuals and departments, and that appropriate educational resources are used in response to such incidents.</w:t>
      </w:r>
    </w:p>
    <w:p w:rsidR="00C74CC8" w:rsidRPr="00C74CC8" w:rsidRDefault="00B70DCE" w:rsidP="00C74CC8">
      <w:pPr>
        <w:spacing w:after="0"/>
        <w:rPr>
          <w:b/>
          <w:bCs/>
        </w:rPr>
      </w:pPr>
      <w:r>
        <w:rPr>
          <w:b/>
          <w:bCs/>
        </w:rPr>
        <w:t xml:space="preserve">c) </w:t>
      </w:r>
      <w:r w:rsidR="00C74CC8" w:rsidRPr="00C74CC8">
        <w:rPr>
          <w:b/>
          <w:bCs/>
        </w:rPr>
        <w:t>Other stakeholders</w:t>
      </w:r>
    </w:p>
    <w:p w:rsidR="00C74CC8" w:rsidRPr="00C74CC8" w:rsidRDefault="00C74CC8" w:rsidP="00C74CC8">
      <w:pPr>
        <w:spacing w:after="0"/>
      </w:pPr>
      <w:r w:rsidRPr="00C74CC8">
        <w:t>19. All educational and training materials that have been produced about sepsis should be updated to reflect NICE guidance on sepsis</w:t>
      </w:r>
    </w:p>
    <w:p w:rsidR="00C74CC8" w:rsidRPr="00C74CC8" w:rsidRDefault="00C74CC8" w:rsidP="00C74CC8">
      <w:pPr>
        <w:spacing w:after="0"/>
      </w:pPr>
      <w:r w:rsidRPr="00C74CC8">
        <w:t xml:space="preserve">20. All education and training related to sepsis, including resources, should embed the concepts of antimicrobial resistance and antimicrobial stewardship. </w:t>
      </w:r>
    </w:p>
    <w:p w:rsidR="00C74CC8" w:rsidRPr="00C74CC8" w:rsidRDefault="00C74CC8" w:rsidP="00C74CC8">
      <w:pPr>
        <w:spacing w:after="0"/>
        <w:rPr>
          <w:b/>
        </w:rPr>
      </w:pPr>
      <w:r w:rsidRPr="00C74CC8">
        <w:t>21. Undergraduate courses for healthcare professionals delivered by higher education institutions should include training in the recognition and management of sepsis in a clinical context within their final year</w:t>
      </w:r>
      <w:r w:rsidRPr="00C74CC8">
        <w:rPr>
          <w:b/>
        </w:rPr>
        <w:t>.</w:t>
      </w:r>
    </w:p>
    <w:p w:rsidR="00C74CC8" w:rsidRPr="00805068" w:rsidRDefault="00C74CC8" w:rsidP="00805068"/>
    <w:p w:rsidR="00805068" w:rsidRPr="00805068" w:rsidRDefault="00805068" w:rsidP="003E0C1C">
      <w:pPr>
        <w:rPr>
          <w:b/>
          <w:u w:val="single"/>
        </w:rPr>
      </w:pPr>
      <w:r w:rsidRPr="00805068">
        <w:rPr>
          <w:b/>
          <w:u w:val="single"/>
        </w:rPr>
        <w:t>2016-2017</w:t>
      </w:r>
    </w:p>
    <w:p w:rsidR="003E0C1C" w:rsidRPr="003E0C1C" w:rsidRDefault="003E0C1C" w:rsidP="003E0C1C">
      <w:pPr>
        <w:rPr>
          <w:b/>
        </w:rPr>
      </w:pPr>
      <w:r w:rsidRPr="003E0C1C">
        <w:rPr>
          <w:b/>
        </w:rPr>
        <w:t>1. Update sepsis resources to take account of new definitions and final version of NICE sepsis guidance.</w:t>
      </w:r>
    </w:p>
    <w:p w:rsidR="003E0C1C" w:rsidRPr="003E0C1C" w:rsidRDefault="00805068" w:rsidP="003E0C1C">
      <w:r>
        <w:t xml:space="preserve">- </w:t>
      </w:r>
      <w:r w:rsidR="003E0C1C" w:rsidRPr="003E0C1C">
        <w:t>Working with the cross-system sepsis programme board, develop  a guide for training providers on updating educational and training resources to a</w:t>
      </w:r>
      <w:r>
        <w:t>lign to NICE guidance on sepsis.</w:t>
      </w:r>
    </w:p>
    <w:p w:rsidR="003E0C1C" w:rsidRPr="003E0C1C" w:rsidRDefault="00805068" w:rsidP="003E0C1C">
      <w:r>
        <w:t xml:space="preserve">- </w:t>
      </w:r>
      <w:r w:rsidR="003E0C1C" w:rsidRPr="003E0C1C">
        <w:t xml:space="preserve">Update all sepsis educational and training resources on the </w:t>
      </w:r>
      <w:proofErr w:type="spellStart"/>
      <w:r w:rsidR="003E0C1C" w:rsidRPr="003E0C1C">
        <w:t>eLfH</w:t>
      </w:r>
      <w:proofErr w:type="spellEnd"/>
      <w:r w:rsidR="003E0C1C" w:rsidRPr="003E0C1C">
        <w:t xml:space="preserve"> platform in accordance with the N</w:t>
      </w:r>
      <w:r>
        <w:t>ICE guidance for sepsis</w:t>
      </w:r>
      <w:r w:rsidR="003E0C1C" w:rsidRPr="003E0C1C">
        <w:t>.</w:t>
      </w:r>
    </w:p>
    <w:p w:rsidR="003E0C1C" w:rsidRPr="003E0C1C" w:rsidRDefault="003E0C1C" w:rsidP="003E0C1C">
      <w:pPr>
        <w:rPr>
          <w:b/>
        </w:rPr>
      </w:pPr>
      <w:r w:rsidRPr="003E0C1C">
        <w:rPr>
          <w:b/>
        </w:rPr>
        <w:t>2. Consider the results of scoping work undertaken in 15-16 on the training materials being used to support sepsis identification and management and develop new training materials to fill gaps.</w:t>
      </w:r>
    </w:p>
    <w:p w:rsidR="003E0C1C" w:rsidRPr="003E0C1C" w:rsidRDefault="003E0C1C" w:rsidP="003E0C1C">
      <w:r w:rsidRPr="003E0C1C">
        <w:t>a) Developing communication and dissemination strategies to maximise uptake and positive engagement with educational and training resources developed or endorsed</w:t>
      </w:r>
      <w:r w:rsidR="00B70DCE">
        <w:t xml:space="preserve"> by HEE</w:t>
      </w:r>
      <w:r w:rsidRPr="003E0C1C">
        <w:t xml:space="preserve">. </w:t>
      </w:r>
    </w:p>
    <w:p w:rsidR="003E0C1C" w:rsidRPr="003E0C1C" w:rsidRDefault="003E0C1C" w:rsidP="003E0C1C">
      <w:r w:rsidRPr="003E0C1C">
        <w:t>b) Consider developing the HEE Quality Framework to encourage the training in relation to the management of acutely deteriorating patients, including patients with sepsis, within the core training of all healthcar</w:t>
      </w:r>
      <w:r w:rsidR="00B70DCE">
        <w:t>e staff</w:t>
      </w:r>
      <w:r w:rsidRPr="003E0C1C">
        <w:t>.</w:t>
      </w:r>
    </w:p>
    <w:p w:rsidR="00B70DCE" w:rsidRDefault="003E0C1C" w:rsidP="003E0C1C">
      <w:pPr>
        <w:rPr>
          <w:b/>
        </w:rPr>
      </w:pPr>
      <w:r w:rsidRPr="003E0C1C">
        <w:rPr>
          <w:b/>
        </w:rPr>
        <w:t xml:space="preserve">3. </w:t>
      </w:r>
      <w:r w:rsidR="00B70DCE">
        <w:rPr>
          <w:b/>
        </w:rPr>
        <w:t>GP sepsis spotlight project.</w:t>
      </w:r>
    </w:p>
    <w:p w:rsidR="003E0C1C" w:rsidRPr="00B70DCE" w:rsidRDefault="003E0C1C" w:rsidP="003E0C1C">
      <w:r w:rsidRPr="00B70DCE">
        <w:t>Joint work with RCGP to promote the use of HEE educational materials on the identification and management of sepsis in primary care developed in 15-16 and development and dissemination of a toolkit to support use of learning materials &amp; help embed learning.</w:t>
      </w:r>
    </w:p>
    <w:p w:rsidR="003E0C1C" w:rsidRPr="003E0C1C" w:rsidRDefault="003E0C1C" w:rsidP="00805068">
      <w:pPr>
        <w:spacing w:after="0"/>
      </w:pPr>
      <w:r w:rsidRPr="003E0C1C">
        <w:t>1. Work via the sepsis spotli</w:t>
      </w:r>
      <w:r w:rsidR="00B70DCE">
        <w:t>ght project that HEE/NHSE has</w:t>
      </w:r>
      <w:r w:rsidR="00F33206">
        <w:t xml:space="preserve"> supported</w:t>
      </w:r>
      <w:r w:rsidRPr="003E0C1C">
        <w:t>:</w:t>
      </w:r>
    </w:p>
    <w:p w:rsidR="003E0C1C" w:rsidRPr="003E0C1C" w:rsidRDefault="003E0C1C" w:rsidP="00805068">
      <w:pPr>
        <w:spacing w:after="0"/>
      </w:pPr>
      <w:r w:rsidRPr="003E0C1C">
        <w:t xml:space="preserve">a) </w:t>
      </w:r>
      <w:r w:rsidRPr="003E0C1C">
        <w:rPr>
          <w:u w:val="single"/>
        </w:rPr>
        <w:t>Toolkit</w:t>
      </w:r>
      <w:r w:rsidRPr="003E0C1C">
        <w:t>: This is live and is now available on the RCGP website [</w:t>
      </w:r>
      <w:hyperlink r:id="rId30" w:history="1">
        <w:r w:rsidRPr="003E0C1C">
          <w:rPr>
            <w:rStyle w:val="Hyperlink"/>
          </w:rPr>
          <w:t>Link</w:t>
        </w:r>
      </w:hyperlink>
      <w:r w:rsidRPr="003E0C1C">
        <w:t xml:space="preserve">]. </w:t>
      </w:r>
    </w:p>
    <w:p w:rsidR="003E0C1C" w:rsidRPr="003E0C1C" w:rsidRDefault="003E0C1C" w:rsidP="00805068">
      <w:pPr>
        <w:spacing w:after="0"/>
      </w:pPr>
      <w:r w:rsidRPr="003E0C1C">
        <w:t xml:space="preserve">b) </w:t>
      </w:r>
      <w:r w:rsidRPr="003E0C1C">
        <w:rPr>
          <w:u w:val="single"/>
        </w:rPr>
        <w:t>Four regional workshops</w:t>
      </w:r>
      <w:r w:rsidRPr="003E0C1C">
        <w:t xml:space="preserve">: To support and promote the use of HEE educational materials on the identification and management of sepsis in primary care developed in 15-16 to support use of learning materials &amp; help embed learning hosted by regional faculties. </w:t>
      </w:r>
    </w:p>
    <w:p w:rsidR="003E0C1C" w:rsidRPr="003E0C1C" w:rsidRDefault="003E0C1C" w:rsidP="00805068">
      <w:pPr>
        <w:spacing w:after="0"/>
      </w:pPr>
      <w:r w:rsidRPr="003E0C1C">
        <w:t>- Workshop 1: London 16</w:t>
      </w:r>
      <w:r w:rsidRPr="003E0C1C">
        <w:rPr>
          <w:vertAlign w:val="superscript"/>
        </w:rPr>
        <w:t>th</w:t>
      </w:r>
      <w:r w:rsidRPr="003E0C1C">
        <w:t xml:space="preserve"> November 2016 [</w:t>
      </w:r>
      <w:hyperlink r:id="rId31" w:history="1">
        <w:r w:rsidRPr="003E0C1C">
          <w:rPr>
            <w:rStyle w:val="Hyperlink"/>
          </w:rPr>
          <w:t>Link</w:t>
        </w:r>
      </w:hyperlink>
      <w:r w:rsidRPr="003E0C1C">
        <w:t xml:space="preserve">]. </w:t>
      </w:r>
    </w:p>
    <w:p w:rsidR="003E0C1C" w:rsidRPr="003E0C1C" w:rsidRDefault="003E0C1C" w:rsidP="00805068">
      <w:pPr>
        <w:spacing w:after="0"/>
      </w:pPr>
      <w:r w:rsidRPr="003E0C1C">
        <w:t>- Workshop 2: Birmingham 11</w:t>
      </w:r>
      <w:r w:rsidRPr="003E0C1C">
        <w:rPr>
          <w:vertAlign w:val="superscript"/>
        </w:rPr>
        <w:t>th</w:t>
      </w:r>
      <w:r w:rsidRPr="003E0C1C">
        <w:t xml:space="preserve"> January 2017 [</w:t>
      </w:r>
      <w:hyperlink r:id="rId32" w:history="1">
        <w:r w:rsidRPr="003E0C1C">
          <w:rPr>
            <w:rStyle w:val="Hyperlink"/>
          </w:rPr>
          <w:t>Link</w:t>
        </w:r>
      </w:hyperlink>
      <w:r w:rsidRPr="003E0C1C">
        <w:t xml:space="preserve">]. </w:t>
      </w:r>
    </w:p>
    <w:p w:rsidR="003E0C1C" w:rsidRPr="003E0C1C" w:rsidRDefault="003E0C1C" w:rsidP="00805068">
      <w:pPr>
        <w:spacing w:after="0"/>
      </w:pPr>
      <w:r w:rsidRPr="003E0C1C">
        <w:t>- Workshop 3: Oxford 19</w:t>
      </w:r>
      <w:r w:rsidRPr="003E0C1C">
        <w:rPr>
          <w:vertAlign w:val="superscript"/>
        </w:rPr>
        <w:t>th</w:t>
      </w:r>
      <w:r w:rsidRPr="003E0C1C">
        <w:t xml:space="preserve"> January 2017 [</w:t>
      </w:r>
      <w:hyperlink r:id="rId33" w:history="1">
        <w:r w:rsidRPr="003E0C1C">
          <w:rPr>
            <w:rStyle w:val="Hyperlink"/>
          </w:rPr>
          <w:t>Link</w:t>
        </w:r>
      </w:hyperlink>
      <w:r w:rsidRPr="003E0C1C">
        <w:t>].</w:t>
      </w:r>
    </w:p>
    <w:p w:rsidR="003E0C1C" w:rsidRPr="003E0C1C" w:rsidRDefault="003E0C1C" w:rsidP="00805068">
      <w:pPr>
        <w:spacing w:after="0"/>
      </w:pPr>
      <w:r w:rsidRPr="003E0C1C">
        <w:t>- Workshop 4: Wakefield 2</w:t>
      </w:r>
      <w:r w:rsidRPr="003E0C1C">
        <w:rPr>
          <w:vertAlign w:val="superscript"/>
        </w:rPr>
        <w:t>nd</w:t>
      </w:r>
      <w:r w:rsidRPr="003E0C1C">
        <w:t xml:space="preserve"> March 2017 [</w:t>
      </w:r>
      <w:hyperlink r:id="rId34" w:history="1">
        <w:r w:rsidRPr="003E0C1C">
          <w:rPr>
            <w:rStyle w:val="Hyperlink"/>
          </w:rPr>
          <w:t>Link</w:t>
        </w:r>
      </w:hyperlink>
      <w:r w:rsidRPr="003E0C1C">
        <w:t>].</w:t>
      </w:r>
    </w:p>
    <w:p w:rsidR="00805068" w:rsidRDefault="00805068" w:rsidP="003E0C1C">
      <w:pPr>
        <w:rPr>
          <w:b/>
        </w:rPr>
      </w:pPr>
    </w:p>
    <w:p w:rsidR="003E0C1C" w:rsidRPr="003E0C1C" w:rsidRDefault="003E0C1C" w:rsidP="003E0C1C">
      <w:pPr>
        <w:rPr>
          <w:b/>
        </w:rPr>
      </w:pPr>
      <w:r w:rsidRPr="003E0C1C">
        <w:rPr>
          <w:b/>
        </w:rPr>
        <w:lastRenderedPageBreak/>
        <w:t>4. An interactive educational sepsis session.</w:t>
      </w:r>
    </w:p>
    <w:p w:rsidR="003E0C1C" w:rsidRPr="003E0C1C" w:rsidRDefault="003E0C1C" w:rsidP="003E0C1C">
      <w:r w:rsidRPr="003E0C1C">
        <w:t xml:space="preserve">Develop an educational resource building upon the recently launched paediatrics </w:t>
      </w:r>
      <w:hyperlink r:id="rId35" w:history="1">
        <w:r w:rsidRPr="003E0C1C">
          <w:rPr>
            <w:rStyle w:val="Hyperlink"/>
          </w:rPr>
          <w:t>film</w:t>
        </w:r>
      </w:hyperlink>
      <w:r w:rsidRPr="003E0C1C">
        <w:t xml:space="preserve"> on sepsis that will cover both adults and children and the e-learning module targeted at GPs and primary care. This resource will be used as an educational tool for health-professionals with appropriate educational discussion points and notes to accompany the resource.</w:t>
      </w:r>
    </w:p>
    <w:p w:rsidR="00805068" w:rsidRDefault="003E0C1C" w:rsidP="00805068">
      <w:r w:rsidRPr="003E0C1C">
        <w:t>The recently launched paediatrics film was a “herald” video with the intention of sign-posting viewers to currently available resources available on sepsis. The work being proposed this year will build on that, and the filming material will be utilised to develop an expanded training session with appropriate educational discussion points and notes covering the recognition o</w:t>
      </w:r>
      <w:r w:rsidR="00B70DCE">
        <w:t xml:space="preserve">f sepsis in all patient groups </w:t>
      </w:r>
      <w:r w:rsidRPr="003E0C1C">
        <w:t>. The intention of this new resource is for it to be used as part of face-to-face teaching sessions del</w:t>
      </w:r>
      <w:r w:rsidR="00805068">
        <w:t xml:space="preserve">ivered to healthcare workers. </w:t>
      </w:r>
    </w:p>
    <w:p w:rsidR="00E20D50" w:rsidRPr="00805068" w:rsidRDefault="00E20D50" w:rsidP="00805068">
      <w:pPr>
        <w:rPr>
          <w:u w:val="single"/>
        </w:rPr>
      </w:pPr>
      <w:r w:rsidRPr="00805068">
        <w:rPr>
          <w:b/>
          <w:u w:val="single"/>
        </w:rPr>
        <w:t>2017-2018</w:t>
      </w:r>
      <w:r w:rsidR="00B70DCE">
        <w:rPr>
          <w:b/>
          <w:u w:val="single"/>
        </w:rPr>
        <w:t xml:space="preserve"> (To be confirmed)</w:t>
      </w:r>
    </w:p>
    <w:p w:rsidR="00E20D50" w:rsidRDefault="00F33206" w:rsidP="00F33206">
      <w:r>
        <w:t xml:space="preserve">1. </w:t>
      </w:r>
      <w:r w:rsidR="00E20D50">
        <w:t>Drawing on existing HEE educational and training resources to produce a sepsis educational package targeted at management and executive teams.</w:t>
      </w:r>
    </w:p>
    <w:p w:rsidR="00E20D50" w:rsidRDefault="00F33206" w:rsidP="00E20D50">
      <w:r>
        <w:t xml:space="preserve">2. </w:t>
      </w:r>
      <w:r w:rsidR="00E20D50">
        <w:t>Working with NHSE on the sepsis CCG-IAF indicator ‘evidence of an agreed and funded strategy to raise awareness of, and improve the management of suspected sepsis as a cause of patient deterioration’ support the promotion of educational resources available on sepsis and identify any gaps that need to be addressed.</w:t>
      </w:r>
    </w:p>
    <w:p w:rsidR="00E20D50" w:rsidRDefault="00F33206" w:rsidP="00E20D50">
      <w:r>
        <w:t xml:space="preserve">3. </w:t>
      </w:r>
      <w:r w:rsidR="00E20D50">
        <w:t>Improve the deli</w:t>
      </w:r>
      <w:r w:rsidR="00B70DCE">
        <w:t>very of education on sepsis in primary c</w:t>
      </w:r>
      <w:r w:rsidR="00E20D50">
        <w:t>are through the development of robust learning materials, effective promotion and take up of these resources.</w:t>
      </w:r>
    </w:p>
    <w:sectPr w:rsidR="00E20D50" w:rsidSect="008050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3DDC"/>
    <w:multiLevelType w:val="hybridMultilevel"/>
    <w:tmpl w:val="52FC18B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BC3762"/>
    <w:multiLevelType w:val="hybridMultilevel"/>
    <w:tmpl w:val="87A67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C20347"/>
    <w:multiLevelType w:val="hybridMultilevel"/>
    <w:tmpl w:val="2368C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DD"/>
    <w:rsid w:val="002928B6"/>
    <w:rsid w:val="003E0C1C"/>
    <w:rsid w:val="005B13DD"/>
    <w:rsid w:val="00805068"/>
    <w:rsid w:val="008E693A"/>
    <w:rsid w:val="00B70DCE"/>
    <w:rsid w:val="00C74CC8"/>
    <w:rsid w:val="00D20FD3"/>
    <w:rsid w:val="00D408DB"/>
    <w:rsid w:val="00E20D50"/>
    <w:rsid w:val="00F3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83A1B-9B42-42C1-B1AA-F9C9AB00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C1C"/>
    <w:rPr>
      <w:color w:val="0000FF" w:themeColor="hyperlink"/>
      <w:u w:val="single"/>
    </w:rPr>
  </w:style>
  <w:style w:type="paragraph" w:styleId="ListParagraph">
    <w:name w:val="List Paragraph"/>
    <w:basedOn w:val="Normal"/>
    <w:uiPriority w:val="34"/>
    <w:qFormat/>
    <w:rsid w:val="00805068"/>
    <w:pPr>
      <w:ind w:left="720"/>
      <w:contextualSpacing/>
    </w:pPr>
  </w:style>
  <w:style w:type="table" w:styleId="TableGrid">
    <w:name w:val="Table Grid"/>
    <w:basedOn w:val="TableNormal"/>
    <w:uiPriority w:val="59"/>
    <w:rsid w:val="00C74CC8"/>
    <w:pPr>
      <w:spacing w:after="0" w:line="240" w:lineRule="auto"/>
    </w:pPr>
    <w:rPr>
      <w:rFonts w:ascii="Arial" w:eastAsia="MS Mincho"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fh.org.uk/programmes/sepsis/" TargetMode="External"/><Relationship Id="rId13" Type="http://schemas.openxmlformats.org/officeDocument/2006/relationships/hyperlink" Target="https://the-uk-sepsis-trust.create-elearning.org" TargetMode="External"/><Relationship Id="rId18" Type="http://schemas.openxmlformats.org/officeDocument/2006/relationships/hyperlink" Target="http://www.rcemfoamed.co.uk/portfolio/sepsis-in-the-ed/" TargetMode="External"/><Relationship Id="rId26" Type="http://schemas.openxmlformats.org/officeDocument/2006/relationships/hyperlink" Target="http://portal.e-lfh.org.uk/LearningContent/Launch/380055" TargetMode="External"/><Relationship Id="rId3" Type="http://schemas.openxmlformats.org/officeDocument/2006/relationships/settings" Target="settings.xml"/><Relationship Id="rId21" Type="http://schemas.openxmlformats.org/officeDocument/2006/relationships/hyperlink" Target="http://learning.bmj.com/learning/module-intro/.html?moduleId=10053348&amp;locale=en_GB" TargetMode="External"/><Relationship Id="rId34" Type="http://schemas.openxmlformats.org/officeDocument/2006/relationships/hyperlink" Target="http://www.rcgp.org.uk/learning/business-development/circ-events/sepsis-workshops/rcgp-sepsis-workshop-wakefield-2-march-2017.aspx" TargetMode="External"/><Relationship Id="rId7" Type="http://schemas.openxmlformats.org/officeDocument/2006/relationships/hyperlink" Target="http://www.e-lfh.org.uk/programmes/sepsis/project-breakdown/" TargetMode="External"/><Relationship Id="rId12" Type="http://schemas.openxmlformats.org/officeDocument/2006/relationships/hyperlink" Target="http://www.projecttransform.co.uk/" TargetMode="External"/><Relationship Id="rId17" Type="http://schemas.openxmlformats.org/officeDocument/2006/relationships/hyperlink" Target="https://www.rcplondon.ac.uk/guidelines-policy/acute-care-toolkit-9-sepsis" TargetMode="External"/><Relationship Id="rId25" Type="http://schemas.openxmlformats.org/officeDocument/2006/relationships/hyperlink" Target="http://portal.e-lfh.org.uk/LearningContent/Launch/347172" TargetMode="External"/><Relationship Id="rId33" Type="http://schemas.openxmlformats.org/officeDocument/2006/relationships/hyperlink" Target="http://www.rcgp.org.uk/learning/business-development/circ-events/sepsis-workshops/rcgp-sepsis-workshop-oxford-19-jan-2017.aspx" TargetMode="External"/><Relationship Id="rId2" Type="http://schemas.openxmlformats.org/officeDocument/2006/relationships/styles" Target="styles.xml"/><Relationship Id="rId16" Type="http://schemas.openxmlformats.org/officeDocument/2006/relationships/hyperlink" Target="http://learning.bmj.com/learning/module-intro/severe-sepsis-and-septic-shock--diagnosis-and-management.html?moduleId=6053929" TargetMode="External"/><Relationship Id="rId20" Type="http://schemas.openxmlformats.org/officeDocument/2006/relationships/hyperlink" Target="http://s15927110.onlinehome-server.info/Development/SepsisGameGeneral/focus-game-admin-SepsisGameGeneral/" TargetMode="External"/><Relationship Id="rId29" Type="http://schemas.openxmlformats.org/officeDocument/2006/relationships/hyperlink" Target="https://www.nice.org.uk/guidance/ng51" TargetMode="External"/><Relationship Id="rId1" Type="http://schemas.openxmlformats.org/officeDocument/2006/relationships/numbering" Target="numbering.xml"/><Relationship Id="rId6" Type="http://schemas.openxmlformats.org/officeDocument/2006/relationships/hyperlink" Target="http://www.e-lfh.org.uk/programmes/sepsis/" TargetMode="External"/><Relationship Id="rId11" Type="http://schemas.openxmlformats.org/officeDocument/2006/relationships/hyperlink" Target="https://hee.nhs.uk/our-work/hospitals-primary-community-care/prevention-public-health-wellbeing/sepsis-awareness" TargetMode="External"/><Relationship Id="rId24" Type="http://schemas.openxmlformats.org/officeDocument/2006/relationships/hyperlink" Target="http://portal.e-lfh.org.uk/LearningContent/Launch/377213" TargetMode="External"/><Relationship Id="rId32" Type="http://schemas.openxmlformats.org/officeDocument/2006/relationships/hyperlink" Target="http://www.rcgp.org.uk/learning/business-development/circ-events/sepsis-workshops/rcgp-sepsis-workshop-bham-11-jan-2017.aspx" TargetMode="External"/><Relationship Id="rId37" Type="http://schemas.openxmlformats.org/officeDocument/2006/relationships/theme" Target="theme/theme1.xml"/><Relationship Id="rId5" Type="http://schemas.openxmlformats.org/officeDocument/2006/relationships/hyperlink" Target="https://hee.nhs.uk/our-work/hospitals-primary-community-care/prevention-public-health-wellbeing/sepsis-awareness" TargetMode="External"/><Relationship Id="rId15" Type="http://schemas.openxmlformats.org/officeDocument/2006/relationships/hyperlink" Target="https://www.hee.nhs.uk/our-work/hospitals-primary-community-care/prevention-public-health-wellbeing/sepsis-awareness" TargetMode="External"/><Relationship Id="rId23" Type="http://schemas.openxmlformats.org/officeDocument/2006/relationships/hyperlink" Target="https://www.spottingthesickchild.com/" TargetMode="External"/><Relationship Id="rId28" Type="http://schemas.openxmlformats.org/officeDocument/2006/relationships/hyperlink" Target="http://sonet.nottingham.ac.uk/rlos/placs/sepsis-and-sepsis-six/" TargetMode="External"/><Relationship Id="rId36" Type="http://schemas.openxmlformats.org/officeDocument/2006/relationships/fontTable" Target="fontTable.xml"/><Relationship Id="rId10" Type="http://schemas.openxmlformats.org/officeDocument/2006/relationships/hyperlink" Target="http://www.e-lfh.org.uk/programmes/sepsis/project-breakdown/" TargetMode="External"/><Relationship Id="rId19" Type="http://schemas.openxmlformats.org/officeDocument/2006/relationships/hyperlink" Target="http://www.sepsisgame.co.uk/" TargetMode="External"/><Relationship Id="rId31" Type="http://schemas.openxmlformats.org/officeDocument/2006/relationships/hyperlink" Target="http://www.rcgp.org.uk/learning/business-development/circ-events/sepsis-workshops/rcgp-sepsis-workshop-london-16-nov-2016.aspx" TargetMode="External"/><Relationship Id="rId4" Type="http://schemas.openxmlformats.org/officeDocument/2006/relationships/webSettings" Target="webSettings.xml"/><Relationship Id="rId9" Type="http://schemas.openxmlformats.org/officeDocument/2006/relationships/hyperlink" Target="https://youtu.be/vxmUVCu6CDI" TargetMode="External"/><Relationship Id="rId14" Type="http://schemas.openxmlformats.org/officeDocument/2006/relationships/hyperlink" Target="http://www.health.org.uk/programmes/spreading-improvement/projects/sepsis-smart-interactive-educational-video-highlight" TargetMode="External"/><Relationship Id="rId22" Type="http://schemas.openxmlformats.org/officeDocument/2006/relationships/hyperlink" Target="https://youtu.be/H3_SeLC3O7M" TargetMode="External"/><Relationship Id="rId27" Type="http://schemas.openxmlformats.org/officeDocument/2006/relationships/hyperlink" Target="https://www.youtube.com/watch?v=o_1rxuLZKgk" TargetMode="External"/><Relationship Id="rId30" Type="http://schemas.openxmlformats.org/officeDocument/2006/relationships/hyperlink" Target="http://www.rcgp.org.uk/clinical-and-research/toolkits/sepsis-toolkit.aspx" TargetMode="External"/><Relationship Id="rId35" Type="http://schemas.openxmlformats.org/officeDocument/2006/relationships/hyperlink" Target="https://youtu.be/vxmUVCu6C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val.obrien</cp:lastModifiedBy>
  <cp:revision>2</cp:revision>
  <dcterms:created xsi:type="dcterms:W3CDTF">2017-01-12T18:07:00Z</dcterms:created>
  <dcterms:modified xsi:type="dcterms:W3CDTF">2017-01-12T18:07:00Z</dcterms:modified>
</cp:coreProperties>
</file>