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316EF"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sz w:val="24"/>
          <w:szCs w:val="24"/>
          <w:lang w:eastAsia="zh-CN"/>
        </w:rPr>
        <w:t xml:space="preserve">Here is the latest edition of the Sepsis Bulletin. The bulletin covers the latest information on sepsis and comes out fortnightly. Next edition is due 28 February 2019. Older editions are available as pdfs on the Keeping Up </w:t>
      </w:r>
      <w:proofErr w:type="gramStart"/>
      <w:r w:rsidRPr="00F64DCB">
        <w:rPr>
          <w:rFonts w:ascii="Calibri" w:eastAsia="SimSun" w:hAnsi="Calibri" w:cs="Times New Roman"/>
          <w:sz w:val="24"/>
          <w:szCs w:val="24"/>
          <w:lang w:eastAsia="zh-CN"/>
        </w:rPr>
        <w:t>To</w:t>
      </w:r>
      <w:proofErr w:type="gramEnd"/>
      <w:r w:rsidRPr="00F64DCB">
        <w:rPr>
          <w:rFonts w:ascii="Calibri" w:eastAsia="SimSun" w:hAnsi="Calibri" w:cs="Times New Roman"/>
          <w:sz w:val="24"/>
          <w:szCs w:val="24"/>
          <w:lang w:eastAsia="zh-CN"/>
        </w:rPr>
        <w:t xml:space="preserve"> Date library guide (</w:t>
      </w:r>
      <w:hyperlink r:id="rId5" w:history="1">
        <w:r w:rsidRPr="00F64DCB">
          <w:rPr>
            <w:rFonts w:ascii="Calibri" w:eastAsia="SimSun" w:hAnsi="Calibri" w:cs="Times New Roman"/>
            <w:color w:val="0000FF"/>
            <w:sz w:val="24"/>
            <w:szCs w:val="24"/>
            <w:u w:val="single"/>
            <w:lang w:eastAsia="zh-CN"/>
          </w:rPr>
          <w:t>http://libguides.bodleian.ox.ac.uk/Keeping_up_to_date</w:t>
        </w:r>
      </w:hyperlink>
      <w:r w:rsidRPr="00F64DCB">
        <w:rPr>
          <w:rFonts w:ascii="Calibri" w:eastAsia="SimSun" w:hAnsi="Calibri" w:cs="Times New Roman"/>
          <w:sz w:val="24"/>
          <w:szCs w:val="24"/>
          <w:lang w:eastAsia="zh-CN"/>
        </w:rPr>
        <w:t xml:space="preserve">) </w:t>
      </w:r>
    </w:p>
    <w:p w14:paraId="33B3ACEF"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sz w:val="24"/>
          <w:szCs w:val="24"/>
          <w:lang w:eastAsia="zh-CN"/>
        </w:rPr>
        <w:t> </w:t>
      </w:r>
      <w:bookmarkStart w:id="0" w:name="_GoBack"/>
      <w:bookmarkEnd w:id="0"/>
    </w:p>
    <w:p w14:paraId="0EFE2C10"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sz w:val="24"/>
          <w:szCs w:val="24"/>
          <w:lang w:eastAsia="zh-CN"/>
        </w:rPr>
        <w:t xml:space="preserve">Please also pass the bulletin on to other interested people and encourage them to sign up.  Anyone can be added to the mailing list. </w:t>
      </w:r>
    </w:p>
    <w:p w14:paraId="47ED101E"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sz w:val="24"/>
          <w:szCs w:val="24"/>
          <w:lang w:eastAsia="zh-CN"/>
        </w:rPr>
        <w:t> </w:t>
      </w:r>
    </w:p>
    <w:p w14:paraId="6C90327A"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sz w:val="24"/>
          <w:szCs w:val="24"/>
          <w:lang w:eastAsia="zh-CN"/>
        </w:rPr>
        <w:t xml:space="preserve">To support you further in keeping up to date, we have a current awareness service, </w:t>
      </w:r>
      <w:proofErr w:type="spellStart"/>
      <w:r w:rsidRPr="00F64DCB">
        <w:rPr>
          <w:rFonts w:ascii="Calibri" w:eastAsia="SimSun" w:hAnsi="Calibri" w:cs="Times New Roman"/>
          <w:b/>
          <w:bCs/>
          <w:sz w:val="24"/>
          <w:szCs w:val="24"/>
          <w:lang w:eastAsia="zh-CN"/>
        </w:rPr>
        <w:t>KnowledgeShare</w:t>
      </w:r>
      <w:proofErr w:type="spellEnd"/>
      <w:r w:rsidRPr="00F64DCB">
        <w:rPr>
          <w:rFonts w:ascii="Calibri" w:eastAsia="SimSun" w:hAnsi="Calibri" w:cs="Times New Roman"/>
          <w:sz w:val="24"/>
          <w:szCs w:val="24"/>
          <w:lang w:eastAsia="zh-CN"/>
        </w:rPr>
        <w:t xml:space="preserve">. You let us know about the different areas you are interested in (for example lung cancer, leadership, orthopaedics, infection control, patient safety, etc.) and we send out an email fortnightly with any new high-level reports, studies, guidelines which match. This is a free service. For more information see our </w:t>
      </w:r>
      <w:hyperlink r:id="rId6" w:history="1">
        <w:r w:rsidRPr="00F64DCB">
          <w:rPr>
            <w:rFonts w:ascii="Calibri" w:eastAsia="SimSun" w:hAnsi="Calibri" w:cs="Times New Roman"/>
            <w:color w:val="0000FF"/>
            <w:sz w:val="24"/>
            <w:szCs w:val="24"/>
            <w:u w:val="single"/>
            <w:lang w:eastAsia="zh-CN"/>
          </w:rPr>
          <w:t>guide</w:t>
        </w:r>
      </w:hyperlink>
      <w:r w:rsidRPr="00F64DCB">
        <w:rPr>
          <w:rFonts w:ascii="Calibri" w:eastAsia="SimSun" w:hAnsi="Calibri" w:cs="Times New Roman"/>
          <w:sz w:val="24"/>
          <w:szCs w:val="24"/>
          <w:lang w:eastAsia="zh-CN"/>
        </w:rPr>
        <w:t xml:space="preserve">. To sign up, fill out our form: </w:t>
      </w:r>
      <w:hyperlink r:id="rId7" w:history="1">
        <w:r w:rsidRPr="00F64DCB">
          <w:rPr>
            <w:rFonts w:ascii="Calibri" w:eastAsia="SimSun" w:hAnsi="Calibri" w:cs="Times New Roman"/>
            <w:color w:val="0000FF"/>
            <w:sz w:val="24"/>
            <w:szCs w:val="24"/>
            <w:u w:val="single"/>
            <w:lang w:eastAsia="zh-CN"/>
          </w:rPr>
          <w:t>https://ox.libguides.com/ld.php?content_id=31673730</w:t>
        </w:r>
      </w:hyperlink>
      <w:r w:rsidRPr="00F64DCB">
        <w:rPr>
          <w:rFonts w:ascii="Calibri" w:eastAsia="SimSun" w:hAnsi="Calibri" w:cs="Times New Roman"/>
          <w:sz w:val="24"/>
          <w:szCs w:val="24"/>
          <w:lang w:eastAsia="zh-CN"/>
        </w:rPr>
        <w:t xml:space="preserve"> </w:t>
      </w:r>
    </w:p>
    <w:p w14:paraId="72ED5B84"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sz w:val="24"/>
          <w:szCs w:val="24"/>
          <w:lang w:eastAsia="zh-CN"/>
        </w:rPr>
        <w:t> </w:t>
      </w:r>
    </w:p>
    <w:tbl>
      <w:tblPr>
        <w:tblpPr w:leftFromText="189" w:rightFromText="189" w:vertAnchor="text"/>
        <w:tblW w:w="10356" w:type="dxa"/>
        <w:tblCellMar>
          <w:left w:w="0" w:type="dxa"/>
          <w:right w:w="0" w:type="dxa"/>
        </w:tblCellMar>
        <w:tblLook w:val="04A0" w:firstRow="1" w:lastRow="0" w:firstColumn="1" w:lastColumn="0" w:noHBand="0" w:noVBand="1"/>
      </w:tblPr>
      <w:tblGrid>
        <w:gridCol w:w="5099"/>
        <w:gridCol w:w="5347"/>
      </w:tblGrid>
      <w:tr w:rsidR="00F64DCB" w:rsidRPr="00F64DCB" w14:paraId="4E39D9D7" w14:textId="77777777" w:rsidTr="00F64DCB">
        <w:trPr>
          <w:trHeight w:val="1276"/>
        </w:trPr>
        <w:tc>
          <w:tcPr>
            <w:tcW w:w="10356" w:type="dxa"/>
            <w:gridSpan w:val="2"/>
            <w:tcMar>
              <w:top w:w="142" w:type="dxa"/>
              <w:left w:w="108" w:type="dxa"/>
              <w:bottom w:w="142" w:type="dxa"/>
              <w:right w:w="108" w:type="dxa"/>
            </w:tcMar>
            <w:hideMark/>
          </w:tcPr>
          <w:p w14:paraId="16DCD80F"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noProof/>
                <w:sz w:val="24"/>
                <w:szCs w:val="24"/>
                <w:lang w:eastAsia="zh-CN"/>
              </w:rPr>
              <w:drawing>
                <wp:inline distT="0" distB="0" distL="0" distR="0" wp14:anchorId="0FAAD8FC" wp14:editId="285300A2">
                  <wp:extent cx="6496050" cy="1222334"/>
                  <wp:effectExtent l="0" t="0" r="0" b="0"/>
                  <wp:docPr id="7" name="Picture 4" descr="cid:image001.jpg@01D4C46E.1F4A0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4C46E.1F4A0B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53001" cy="1233050"/>
                          </a:xfrm>
                          <a:prstGeom prst="rect">
                            <a:avLst/>
                          </a:prstGeom>
                          <a:noFill/>
                          <a:ln>
                            <a:noFill/>
                          </a:ln>
                        </pic:spPr>
                      </pic:pic>
                    </a:graphicData>
                  </a:graphic>
                </wp:inline>
              </w:drawing>
            </w:r>
          </w:p>
          <w:p w14:paraId="315969BA"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sz w:val="24"/>
                <w:szCs w:val="24"/>
                <w:lang w:eastAsia="zh-CN"/>
              </w:rPr>
              <w:t> </w:t>
            </w:r>
          </w:p>
        </w:tc>
      </w:tr>
      <w:tr w:rsidR="00F64DCB" w:rsidRPr="00F64DCB" w14:paraId="066C7F49" w14:textId="77777777" w:rsidTr="00F64DCB">
        <w:tc>
          <w:tcPr>
            <w:tcW w:w="10356" w:type="dxa"/>
            <w:gridSpan w:val="2"/>
            <w:tcBorders>
              <w:top w:val="nil"/>
              <w:left w:val="nil"/>
              <w:bottom w:val="single" w:sz="8" w:space="0" w:color="auto"/>
              <w:right w:val="nil"/>
            </w:tcBorders>
            <w:tcMar>
              <w:top w:w="142" w:type="dxa"/>
              <w:left w:w="108" w:type="dxa"/>
              <w:bottom w:w="142" w:type="dxa"/>
              <w:right w:w="108" w:type="dxa"/>
            </w:tcMar>
            <w:hideMark/>
          </w:tcPr>
          <w:p w14:paraId="1C66DBB5"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r w:rsidRPr="00F64DCB">
              <w:rPr>
                <w:rFonts w:ascii="Calibri" w:eastAsia="SimSun" w:hAnsi="Calibri" w:cs="Times New Roman"/>
                <w:b/>
                <w:bCs/>
                <w:color w:val="5F497A"/>
                <w:sz w:val="48"/>
                <w:szCs w:val="48"/>
                <w:lang w:eastAsia="zh-CN"/>
              </w:rPr>
              <w:t>SEPSIS BULLETIN</w:t>
            </w:r>
          </w:p>
          <w:p w14:paraId="310776FC"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r w:rsidRPr="00F64DCB">
              <w:rPr>
                <w:rFonts w:ascii="Calibri" w:eastAsia="SimSun" w:hAnsi="Calibri" w:cs="Times New Roman"/>
                <w:b/>
                <w:bCs/>
                <w:color w:val="5F497A"/>
                <w:sz w:val="48"/>
                <w:szCs w:val="48"/>
                <w:lang w:eastAsia="zh-CN"/>
              </w:rPr>
              <w:t>14 February 2019</w:t>
            </w:r>
          </w:p>
        </w:tc>
      </w:tr>
      <w:tr w:rsidR="00F64DCB" w:rsidRPr="00F64DCB" w14:paraId="066AFCB6" w14:textId="77777777" w:rsidTr="00F64DCB">
        <w:tc>
          <w:tcPr>
            <w:tcW w:w="5211" w:type="dxa"/>
            <w:tcBorders>
              <w:top w:val="nil"/>
              <w:left w:val="single" w:sz="8" w:space="0" w:color="auto"/>
              <w:bottom w:val="single" w:sz="8" w:space="0" w:color="auto"/>
              <w:right w:val="single" w:sz="8" w:space="0" w:color="auto"/>
            </w:tcBorders>
            <w:tcMar>
              <w:top w:w="142" w:type="dxa"/>
              <w:left w:w="108" w:type="dxa"/>
              <w:bottom w:w="142" w:type="dxa"/>
              <w:right w:w="108" w:type="dxa"/>
            </w:tcMar>
            <w:hideMark/>
          </w:tcPr>
          <w:p w14:paraId="0B5BCFEA"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lang w:eastAsia="zh-CN"/>
              </w:rPr>
              <w:t>Neonatal, paediatric and maternal sepsis</w:t>
            </w:r>
          </w:p>
          <w:p w14:paraId="5C4406EB"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10" w:history="1">
              <w:r w:rsidRPr="00F64DCB">
                <w:rPr>
                  <w:rFonts w:ascii="Calibri" w:eastAsia="SimSun" w:hAnsi="Calibri" w:cs="Times New Roman"/>
                  <w:color w:val="0000FF"/>
                  <w:u w:val="single"/>
                </w:rPr>
                <w:t xml:space="preserve">Evaluating </w:t>
              </w:r>
              <w:proofErr w:type="spellStart"/>
              <w:r w:rsidRPr="00F64DCB">
                <w:rPr>
                  <w:rFonts w:ascii="Calibri" w:eastAsia="SimSun" w:hAnsi="Calibri" w:cs="Times New Roman"/>
                  <w:color w:val="0000FF"/>
                  <w:u w:val="single"/>
                </w:rPr>
                <w:t>Newborns</w:t>
              </w:r>
              <w:proofErr w:type="spellEnd"/>
              <w:r w:rsidRPr="00F64DCB">
                <w:rPr>
                  <w:rFonts w:ascii="Calibri" w:eastAsia="SimSun" w:hAnsi="Calibri" w:cs="Times New Roman"/>
                  <w:color w:val="0000FF"/>
                  <w:u w:val="single"/>
                </w:rPr>
                <w:t xml:space="preserve"> at Risk for Early-Onset Sepsis</w:t>
              </w:r>
            </w:hyperlink>
          </w:p>
          <w:p w14:paraId="38CA4714"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Good, P.I. et al</w:t>
            </w:r>
          </w:p>
          <w:p w14:paraId="43159EB6"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 xml:space="preserve">The </w:t>
            </w:r>
            <w:proofErr w:type="spellStart"/>
            <w:r w:rsidRPr="00F64DCB">
              <w:rPr>
                <w:rFonts w:ascii="Calibri" w:eastAsia="SimSun" w:hAnsi="Calibri" w:cs="Times New Roman"/>
                <w:b/>
                <w:bCs/>
              </w:rPr>
              <w:t>Pediatric</w:t>
            </w:r>
            <w:proofErr w:type="spellEnd"/>
            <w:r w:rsidRPr="00F64DCB">
              <w:rPr>
                <w:rFonts w:ascii="Calibri" w:eastAsia="SimSun" w:hAnsi="Calibri" w:cs="Times New Roman"/>
                <w:b/>
                <w:bCs/>
              </w:rPr>
              <w:t xml:space="preserve"> Clinics of North America </w:t>
            </w:r>
            <w:r w:rsidRPr="00F64DCB">
              <w:rPr>
                <w:rFonts w:ascii="Calibri" w:eastAsia="SimSun" w:hAnsi="Calibri" w:cs="Times New Roman"/>
              </w:rPr>
              <w:t>1 February 2019</w:t>
            </w:r>
          </w:p>
          <w:p w14:paraId="2F767ACB"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xml:space="preserve">Early-onset sepsis (EOS) is an important cause of neonatal morbidity. Despite extensive study, identifying at-risk </w:t>
            </w:r>
            <w:proofErr w:type="spellStart"/>
            <w:r w:rsidRPr="00F64DCB">
              <w:rPr>
                <w:rFonts w:ascii="Calibri" w:eastAsia="SimSun" w:hAnsi="Calibri" w:cs="Times New Roman"/>
              </w:rPr>
              <w:t>newborns</w:t>
            </w:r>
            <w:proofErr w:type="spellEnd"/>
            <w:r w:rsidRPr="00F64DCB">
              <w:rPr>
                <w:rFonts w:ascii="Calibri" w:eastAsia="SimSun" w:hAnsi="Calibri" w:cs="Times New Roman"/>
              </w:rPr>
              <w:t xml:space="preserve"> remains challenging, especially if they are initially well appearing. Existing official EOS recommendations suggest a conservative approach that likely results in overtreatment of a low-risk population. Recent studies indicate that more precise risk assessment and alternative management strategies could decrease the number of infants exposed to blood draws and antibiotics during evaluations for EOS. This article reviews existing guidelines and provides an overview of the Bayesian sepsis calculator and serial observation as an alternative to laboratory studies and empirical antibiotics.</w:t>
            </w:r>
          </w:p>
          <w:p w14:paraId="6F518CF1"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2698F988"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11" w:history="1">
              <w:r w:rsidRPr="00F64DCB">
                <w:rPr>
                  <w:rFonts w:ascii="Calibri" w:eastAsia="SimSun" w:hAnsi="Calibri" w:cs="Times New Roman"/>
                  <w:color w:val="0000FF"/>
                  <w:u w:val="single"/>
                </w:rPr>
                <w:t xml:space="preserve">Intravenous fluid contaminated with Klebsiella </w:t>
              </w:r>
              <w:proofErr w:type="spellStart"/>
              <w:r w:rsidRPr="00F64DCB">
                <w:rPr>
                  <w:rFonts w:ascii="Calibri" w:eastAsia="SimSun" w:hAnsi="Calibri" w:cs="Times New Roman"/>
                  <w:color w:val="0000FF"/>
                  <w:u w:val="single"/>
                </w:rPr>
                <w:t>oxytoca</w:t>
              </w:r>
              <w:proofErr w:type="spellEnd"/>
              <w:r w:rsidRPr="00F64DCB">
                <w:rPr>
                  <w:rFonts w:ascii="Calibri" w:eastAsia="SimSun" w:hAnsi="Calibri" w:cs="Times New Roman"/>
                  <w:color w:val="0000FF"/>
                  <w:u w:val="single"/>
                </w:rPr>
                <w:t xml:space="preserve"> as a source of sepsis in a preterm </w:t>
              </w:r>
              <w:proofErr w:type="spellStart"/>
              <w:r w:rsidRPr="00F64DCB">
                <w:rPr>
                  <w:rFonts w:ascii="Calibri" w:eastAsia="SimSun" w:hAnsi="Calibri" w:cs="Times New Roman"/>
                  <w:color w:val="0000FF"/>
                  <w:u w:val="single"/>
                </w:rPr>
                <w:t>newborn</w:t>
              </w:r>
              <w:proofErr w:type="spellEnd"/>
              <w:r w:rsidRPr="00F64DCB">
                <w:rPr>
                  <w:rFonts w:ascii="Calibri" w:eastAsia="SimSun" w:hAnsi="Calibri" w:cs="Times New Roman"/>
                  <w:color w:val="0000FF"/>
                  <w:u w:val="single"/>
                </w:rPr>
                <w:t>: Case report</w:t>
              </w:r>
            </w:hyperlink>
          </w:p>
          <w:p w14:paraId="55A9932C"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proofErr w:type="spellStart"/>
            <w:r w:rsidRPr="00F64DCB">
              <w:rPr>
                <w:rFonts w:ascii="Calibri" w:eastAsia="SimSun" w:hAnsi="Calibri" w:cs="Times New Roman"/>
              </w:rPr>
              <w:t>Eshetu</w:t>
            </w:r>
            <w:proofErr w:type="spellEnd"/>
            <w:r w:rsidRPr="00F64DCB">
              <w:rPr>
                <w:rFonts w:ascii="Calibri" w:eastAsia="SimSun" w:hAnsi="Calibri" w:cs="Times New Roman"/>
              </w:rPr>
              <w:t xml:space="preserve">, B. et al </w:t>
            </w:r>
          </w:p>
          <w:p w14:paraId="657FE4BC"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AJIC: American Journal of Infection Control</w:t>
            </w:r>
            <w:r w:rsidRPr="00F64DCB">
              <w:rPr>
                <w:rFonts w:ascii="Calibri" w:eastAsia="SimSun" w:hAnsi="Calibri" w:cs="Times New Roman"/>
              </w:rPr>
              <w:t xml:space="preserve"> February 2019</w:t>
            </w:r>
          </w:p>
          <w:p w14:paraId="7676F3C2"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xml:space="preserve">We report a case of hospital-acquired sepsis in a preterm baby secondary to Klebsiella </w:t>
            </w:r>
            <w:proofErr w:type="spellStart"/>
            <w:r w:rsidRPr="00F64DCB">
              <w:rPr>
                <w:rFonts w:ascii="Calibri" w:eastAsia="SimSun" w:hAnsi="Calibri" w:cs="Times New Roman"/>
              </w:rPr>
              <w:t>oxytoca</w:t>
            </w:r>
            <w:proofErr w:type="spellEnd"/>
            <w:r w:rsidRPr="00F64DCB">
              <w:rPr>
                <w:rFonts w:ascii="Calibri" w:eastAsia="SimSun" w:hAnsi="Calibri" w:cs="Times New Roman"/>
              </w:rPr>
              <w:t xml:space="preserve">, resulting from contaminated intravenous fluid. Cultures from the intravenous fluid and blood both grew K </w:t>
            </w:r>
            <w:proofErr w:type="spellStart"/>
            <w:r w:rsidRPr="00F64DCB">
              <w:rPr>
                <w:rFonts w:ascii="Calibri" w:eastAsia="SimSun" w:hAnsi="Calibri" w:cs="Times New Roman"/>
              </w:rPr>
              <w:t>oxytoca</w:t>
            </w:r>
            <w:proofErr w:type="spellEnd"/>
            <w:r w:rsidRPr="00F64DCB">
              <w:rPr>
                <w:rFonts w:ascii="Calibri" w:eastAsia="SimSun" w:hAnsi="Calibri" w:cs="Times New Roman"/>
              </w:rPr>
              <w:t xml:space="preserve">. Phenotypic characteristics and drug resistance patterns were similar for both isolates. Advances in neonatal care have led to the increasing survival of smaller and sicker infants, but nosocomial infections continue to be a serious problem, associated with increased mortality rates, immediate and long-term morbidity, prolonged hospital stay, and increased cost of care. </w:t>
            </w:r>
          </w:p>
          <w:p w14:paraId="4C725628"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59601FF6"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12" w:history="1">
              <w:r w:rsidRPr="00F64DCB">
                <w:rPr>
                  <w:rFonts w:ascii="Calibri" w:eastAsia="SimSun" w:hAnsi="Calibri" w:cs="Times New Roman"/>
                  <w:color w:val="0000FF"/>
                  <w:u w:val="single"/>
                </w:rPr>
                <w:t>Prospective surveillance of bacterial colonization and primary sepsis - findings of a tertiary neonatal intensive and intermediate care unit</w:t>
              </w:r>
            </w:hyperlink>
          </w:p>
          <w:p w14:paraId="57B6FBA1"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Baier, C. et al.</w:t>
            </w:r>
          </w:p>
          <w:p w14:paraId="21E03279"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Journal of Hospital Infection</w:t>
            </w:r>
            <w:r w:rsidRPr="00F64DCB">
              <w:rPr>
                <w:rFonts w:ascii="Calibri" w:eastAsia="SimSun" w:hAnsi="Calibri" w:cs="Times New Roman"/>
              </w:rPr>
              <w:t xml:space="preserve"> Feb 2019</w:t>
            </w:r>
          </w:p>
          <w:p w14:paraId="30FCFD69"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Preterm infants and critically ill neonates are predisposed to nosocomial infections as sepsis. Moreover, these infants acquire commensal bacteria, which might become potentially harming. On-ward transmission of these bacteria can cause outbreaks. We report the findings of a prospective surveillance of bacterial colonization and primary sepsis in preterm infants and neonates. Surveillance of colonization provided a comprehensive overview on species and antibiotic resistance patterns. It allowed early detection of a colonization cluster. Knowledge of colonization and surveillance of sepsis is useful for guiding infection control measures and antibiotic treatment.</w:t>
            </w:r>
          </w:p>
          <w:p w14:paraId="74927A7C"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3271E2FB"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13" w:history="1">
              <w:r w:rsidRPr="00F64DCB">
                <w:rPr>
                  <w:rFonts w:ascii="Calibri" w:eastAsia="SimSun" w:hAnsi="Calibri" w:cs="Times New Roman"/>
                  <w:color w:val="0000FF"/>
                  <w:u w:val="single"/>
                </w:rPr>
                <w:t>Outcome of Infants with Therapeutic Hypothermia after Perinatal Asphyxia and Early-Onset Sepsis</w:t>
              </w:r>
            </w:hyperlink>
          </w:p>
          <w:p w14:paraId="561D7B71"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Hakobyan, M. et al.</w:t>
            </w:r>
          </w:p>
          <w:p w14:paraId="44158A19"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Neonatology</w:t>
            </w:r>
            <w:r w:rsidRPr="00F64DCB">
              <w:rPr>
                <w:rFonts w:ascii="Calibri" w:eastAsia="SimSun" w:hAnsi="Calibri" w:cs="Times New Roman"/>
              </w:rPr>
              <w:t>, 2018, pp.127-133</w:t>
            </w:r>
          </w:p>
          <w:p w14:paraId="095FB814"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xml:space="preserve">Animal models suggest that neuroprotective effects of therapeutic hypothermia (TH) after perinatal asphyxia are reduced in infants with early-onset sepsis. We assessed the outcome of infants with perinatal asphyxia, neonatal encephalopathy, and TH in the presence of early-onset sepsis. A good outcome was reported in </w:t>
            </w:r>
            <w:proofErr w:type="gramStart"/>
            <w:r w:rsidRPr="00F64DCB">
              <w:rPr>
                <w:rFonts w:ascii="Calibri" w:eastAsia="SimSun" w:hAnsi="Calibri" w:cs="Times New Roman"/>
              </w:rPr>
              <w:t>the majority of</w:t>
            </w:r>
            <w:proofErr w:type="gramEnd"/>
            <w:r w:rsidRPr="00F64DCB">
              <w:rPr>
                <w:rFonts w:ascii="Calibri" w:eastAsia="SimSun" w:hAnsi="Calibri" w:cs="Times New Roman"/>
              </w:rPr>
              <w:t xml:space="preserve"> infants with perinatal asphyxia, TH, and early-onset sepsis. Cooling should not be withheld from these infants.</w:t>
            </w:r>
          </w:p>
          <w:p w14:paraId="38258652"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129ED454"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14" w:history="1">
              <w:r w:rsidRPr="00F64DCB">
                <w:rPr>
                  <w:rFonts w:ascii="Calibri" w:eastAsia="SimSun" w:hAnsi="Calibri" w:cs="Times New Roman"/>
                  <w:color w:val="0000FF"/>
                  <w:u w:val="single"/>
                </w:rPr>
                <w:t>The global maternal sepsis study and awareness campaign (GLOSS): study protocol</w:t>
              </w:r>
            </w:hyperlink>
          </w:p>
          <w:p w14:paraId="72445A80"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proofErr w:type="spellStart"/>
            <w:r w:rsidRPr="00F64DCB">
              <w:rPr>
                <w:rFonts w:ascii="Calibri" w:eastAsia="SimSun" w:hAnsi="Calibri" w:cs="Times New Roman"/>
              </w:rPr>
              <w:t>Bonet</w:t>
            </w:r>
            <w:proofErr w:type="spellEnd"/>
            <w:r w:rsidRPr="00F64DCB">
              <w:rPr>
                <w:rFonts w:ascii="Calibri" w:eastAsia="SimSun" w:hAnsi="Calibri" w:cs="Times New Roman"/>
              </w:rPr>
              <w:t>, M. et al.</w:t>
            </w:r>
          </w:p>
          <w:p w14:paraId="4350E559"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Reproductive Health</w:t>
            </w:r>
            <w:r w:rsidRPr="00F64DCB">
              <w:rPr>
                <w:rFonts w:ascii="Calibri" w:eastAsia="SimSun" w:hAnsi="Calibri" w:cs="Times New Roman"/>
              </w:rPr>
              <w:t xml:space="preserve"> 2018 15:16</w:t>
            </w:r>
          </w:p>
          <w:p w14:paraId="117B631F"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Maternal sepsis is the underlying cause of 11% of all maternal deaths and a significant contributor to many deaths attributed to other underlying conditions. The effective prevention, early identification and adequate management of maternal and neonatal infections and sepsis can contribute to reducing the burden of infection as an underlying and contributing cause of morbidity and mortality. The objectives of the Global Maternal Sepsis Study (GLOSS) include: the development and validation of identification criteria for possible severe maternal infection and maternal sepsis; assessment of the frequency of use of a core set of practices recommended for prevention, early identification and management of maternal sepsis; further understanding of mother-to-child transmission of bacterial infection; assessment of the level of awareness about maternal and neonatal sepsis among health care providers; and establishment of a network of health care facilities to implement quality improvement strategies for better identification and management of maternal and early neonatal sepsis. GLOSS will provide a set of actionable criteria for identification of women with possible severe maternal infection and maternal sepsis. This study will provide data on the frequency of maternal sepsis and uptake of effective diagnostic and therapeutic interventions in obstetrics in different hospitals and countries. We will also be able to explore links between interventions and maternal and perinatal outcomes and identify priority areas for action.</w:t>
            </w:r>
          </w:p>
          <w:p w14:paraId="4596634B"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356C1594"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15" w:history="1">
              <w:r w:rsidRPr="00F64DCB">
                <w:rPr>
                  <w:rFonts w:ascii="Calibri" w:eastAsia="SimSun" w:hAnsi="Calibri" w:cs="Times New Roman"/>
                  <w:color w:val="0000FF"/>
                  <w:u w:val="single"/>
                </w:rPr>
                <w:t xml:space="preserve">Early onset sepsis calculator-based management of </w:t>
              </w:r>
              <w:proofErr w:type="spellStart"/>
              <w:r w:rsidRPr="00F64DCB">
                <w:rPr>
                  <w:rFonts w:ascii="Calibri" w:eastAsia="SimSun" w:hAnsi="Calibri" w:cs="Times New Roman"/>
                  <w:color w:val="0000FF"/>
                  <w:u w:val="single"/>
                </w:rPr>
                <w:t>newborns</w:t>
              </w:r>
              <w:proofErr w:type="spellEnd"/>
              <w:r w:rsidRPr="00F64DCB">
                <w:rPr>
                  <w:rFonts w:ascii="Calibri" w:eastAsia="SimSun" w:hAnsi="Calibri" w:cs="Times New Roman"/>
                  <w:color w:val="0000FF"/>
                  <w:u w:val="single"/>
                </w:rPr>
                <w:t xml:space="preserve"> exposed to maternal intrapartum fever: a cost benefit analysis</w:t>
              </w:r>
            </w:hyperlink>
          </w:p>
          <w:p w14:paraId="0E84A6BC"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lang w:val="fr-FR"/>
              </w:rPr>
              <w:t>Gong, C.L. et al.</w:t>
            </w:r>
          </w:p>
          <w:p w14:paraId="11FD3737"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 xml:space="preserve">Journal of </w:t>
            </w:r>
            <w:proofErr w:type="gramStart"/>
            <w:r w:rsidRPr="00F64DCB">
              <w:rPr>
                <w:rFonts w:ascii="Calibri" w:eastAsia="SimSun" w:hAnsi="Calibri" w:cs="Times New Roman"/>
                <w:b/>
                <w:bCs/>
              </w:rPr>
              <w:t>perinatology :</w:t>
            </w:r>
            <w:proofErr w:type="gramEnd"/>
            <w:r w:rsidRPr="00F64DCB">
              <w:rPr>
                <w:rFonts w:ascii="Calibri" w:eastAsia="SimSun" w:hAnsi="Calibri" w:cs="Times New Roman"/>
                <w:b/>
                <w:bCs/>
              </w:rPr>
              <w:t xml:space="preserve"> official journal of the California Perinatal Association</w:t>
            </w:r>
            <w:r w:rsidRPr="00F64DCB">
              <w:rPr>
                <w:rFonts w:ascii="Calibri" w:eastAsia="SimSun" w:hAnsi="Calibri" w:cs="Times New Roman"/>
              </w:rPr>
              <w:t>, 28 January 2019</w:t>
            </w:r>
          </w:p>
          <w:p w14:paraId="3A3C064F"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xml:space="preserve">We looked to determine potential net monetary benefit of an early onset sepsis calculator-based approach for management of neonates exposed to maternal intrapartum fever, compared to existing guidelines. Compared to existing guidelines, a calculator-based approach for </w:t>
            </w:r>
            <w:proofErr w:type="spellStart"/>
            <w:r w:rsidRPr="00F64DCB">
              <w:rPr>
                <w:rFonts w:ascii="Calibri" w:eastAsia="SimSun" w:hAnsi="Calibri" w:cs="Times New Roman"/>
              </w:rPr>
              <w:t>newborns</w:t>
            </w:r>
            <w:proofErr w:type="spellEnd"/>
            <w:r w:rsidRPr="00F64DCB">
              <w:rPr>
                <w:rFonts w:ascii="Calibri" w:eastAsia="SimSun" w:hAnsi="Calibri" w:cs="Times New Roman"/>
              </w:rPr>
              <w:t xml:space="preserve"> exposed to maternal intrapartum fever yields a robust net monetary benefit, largely by preventing unnecessary antibiotic treatment.</w:t>
            </w:r>
          </w:p>
          <w:p w14:paraId="2BCAC98F"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1DA34A05"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16" w:history="1">
              <w:r w:rsidRPr="00F64DCB">
                <w:rPr>
                  <w:rFonts w:ascii="Calibri" w:eastAsia="SimSun" w:hAnsi="Calibri" w:cs="Times New Roman"/>
                  <w:color w:val="0000FF"/>
                  <w:u w:val="single"/>
                </w:rPr>
                <w:t xml:space="preserve">A Comparative Evaluation of </w:t>
              </w:r>
              <w:proofErr w:type="spellStart"/>
              <w:r w:rsidRPr="00F64DCB">
                <w:rPr>
                  <w:rFonts w:ascii="Calibri" w:eastAsia="SimSun" w:hAnsi="Calibri" w:cs="Times New Roman"/>
                  <w:color w:val="0000FF"/>
                  <w:u w:val="single"/>
                </w:rPr>
                <w:t>Presepsin</w:t>
              </w:r>
              <w:proofErr w:type="spellEnd"/>
              <w:r w:rsidRPr="00F64DCB">
                <w:rPr>
                  <w:rFonts w:ascii="Calibri" w:eastAsia="SimSun" w:hAnsi="Calibri" w:cs="Times New Roman"/>
                  <w:color w:val="0000FF"/>
                  <w:u w:val="single"/>
                </w:rPr>
                <w:t xml:space="preserve"> with Procalcitonin and CRP in Diagnosing Neonatal Sepsis</w:t>
              </w:r>
            </w:hyperlink>
          </w:p>
          <w:p w14:paraId="1C5B57D8"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lastRenderedPageBreak/>
              <w:t>Kumar, N. et al.</w:t>
            </w:r>
          </w:p>
          <w:p w14:paraId="7745AB85"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 xml:space="preserve">The Indian Journal of </w:t>
            </w:r>
            <w:proofErr w:type="spellStart"/>
            <w:r w:rsidRPr="00F64DCB">
              <w:rPr>
                <w:rFonts w:ascii="Calibri" w:eastAsia="SimSun" w:hAnsi="Calibri" w:cs="Times New Roman"/>
                <w:b/>
                <w:bCs/>
              </w:rPr>
              <w:t>Pediatrics</w:t>
            </w:r>
            <w:proofErr w:type="spellEnd"/>
            <w:r w:rsidRPr="00F64DCB">
              <w:rPr>
                <w:rFonts w:ascii="Calibri" w:eastAsia="SimSun" w:hAnsi="Calibri" w:cs="Times New Roman"/>
              </w:rPr>
              <w:t>, 2/2019, Vol.86(2), pp.177-179</w:t>
            </w:r>
          </w:p>
          <w:p w14:paraId="46D1F40B"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xml:space="preserve">The objectives of this study were to study the clinical and biochemical profile of neonates with sepsis and to evaluate the diagnostic role of </w:t>
            </w:r>
            <w:proofErr w:type="spellStart"/>
            <w:r w:rsidRPr="00F64DCB">
              <w:rPr>
                <w:rFonts w:ascii="Calibri" w:eastAsia="SimSun" w:hAnsi="Calibri" w:cs="Times New Roman"/>
              </w:rPr>
              <w:t>presepsin</w:t>
            </w:r>
            <w:proofErr w:type="spellEnd"/>
            <w:r w:rsidRPr="00F64DCB">
              <w:rPr>
                <w:rFonts w:ascii="Calibri" w:eastAsia="SimSun" w:hAnsi="Calibri" w:cs="Times New Roman"/>
              </w:rPr>
              <w:t xml:space="preserve"> and its comparison with C-reactive protein (CRP) and Procalcitonin (PCT). </w:t>
            </w:r>
            <w:proofErr w:type="spellStart"/>
            <w:r w:rsidRPr="00F64DCB">
              <w:rPr>
                <w:rFonts w:ascii="Calibri" w:eastAsia="SimSun" w:hAnsi="Calibri" w:cs="Times New Roman"/>
              </w:rPr>
              <w:t>Presepsin</w:t>
            </w:r>
            <w:proofErr w:type="spellEnd"/>
            <w:r w:rsidRPr="00F64DCB">
              <w:rPr>
                <w:rFonts w:ascii="Calibri" w:eastAsia="SimSun" w:hAnsi="Calibri" w:cs="Times New Roman"/>
              </w:rPr>
              <w:t>, in comparison with CRP and PCT has better sensitivity and negative predictive value (NPV).</w:t>
            </w:r>
          </w:p>
          <w:p w14:paraId="7F8C2508"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3E759858"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17" w:history="1">
              <w:r w:rsidRPr="00F64DCB">
                <w:rPr>
                  <w:rFonts w:ascii="Calibri" w:eastAsia="SimSun" w:hAnsi="Calibri" w:cs="Times New Roman"/>
                  <w:color w:val="0000FF"/>
                  <w:u w:val="single"/>
                </w:rPr>
                <w:t xml:space="preserve">Global Case-Fatality Rates in </w:t>
              </w:r>
              <w:proofErr w:type="spellStart"/>
              <w:r w:rsidRPr="00F64DCB">
                <w:rPr>
                  <w:rFonts w:ascii="Calibri" w:eastAsia="SimSun" w:hAnsi="Calibri" w:cs="Times New Roman"/>
                  <w:color w:val="0000FF"/>
                  <w:u w:val="single"/>
                </w:rPr>
                <w:t>Pediatric</w:t>
              </w:r>
              <w:proofErr w:type="spellEnd"/>
              <w:r w:rsidRPr="00F64DCB">
                <w:rPr>
                  <w:rFonts w:ascii="Calibri" w:eastAsia="SimSun" w:hAnsi="Calibri" w:cs="Times New Roman"/>
                  <w:color w:val="0000FF"/>
                  <w:u w:val="single"/>
                </w:rPr>
                <w:t xml:space="preserve"> Severe Sepsis and Septic Shock: A Systematic Review and Meta-analysis.</w:t>
              </w:r>
            </w:hyperlink>
          </w:p>
          <w:p w14:paraId="40624C4C"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lang w:val="fr-FR"/>
              </w:rPr>
              <w:t>Tan B. et al.</w:t>
            </w:r>
          </w:p>
          <w:p w14:paraId="1615E1C5"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lang w:val="fr-FR"/>
              </w:rPr>
              <w:t xml:space="preserve">JAMA </w:t>
            </w:r>
            <w:proofErr w:type="spellStart"/>
            <w:r w:rsidRPr="00F64DCB">
              <w:rPr>
                <w:rFonts w:ascii="Calibri" w:eastAsia="SimSun" w:hAnsi="Calibri" w:cs="Times New Roman"/>
                <w:b/>
                <w:bCs/>
                <w:lang w:val="fr-FR"/>
              </w:rPr>
              <w:t>Pediatr</w:t>
            </w:r>
            <w:proofErr w:type="spellEnd"/>
            <w:r w:rsidRPr="00F64DCB">
              <w:rPr>
                <w:rFonts w:ascii="Calibri" w:eastAsia="SimSun" w:hAnsi="Calibri" w:cs="Times New Roman"/>
                <w:lang w:val="fr-FR"/>
              </w:rPr>
              <w:t xml:space="preserve">. </w:t>
            </w:r>
            <w:r w:rsidRPr="00F64DCB">
              <w:rPr>
                <w:rFonts w:ascii="Calibri" w:eastAsia="SimSun" w:hAnsi="Calibri" w:cs="Times New Roman"/>
              </w:rPr>
              <w:t xml:space="preserve">2019 Feb 11. </w:t>
            </w:r>
          </w:p>
          <w:p w14:paraId="6082F418"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xml:space="preserve">We performed a systematic review and meta-analysis of studies of children with severe sepsis and septic shock to elucidate the patterns of CFRs in developing and developed countries over time. We also described factors associated with CFRs. Despite the declining trend of </w:t>
            </w:r>
            <w:proofErr w:type="spellStart"/>
            <w:r w:rsidRPr="00F64DCB">
              <w:rPr>
                <w:rFonts w:ascii="Calibri" w:eastAsia="SimSun" w:hAnsi="Calibri" w:cs="Times New Roman"/>
              </w:rPr>
              <w:t>pediatric</w:t>
            </w:r>
            <w:proofErr w:type="spellEnd"/>
            <w:r w:rsidRPr="00F64DCB">
              <w:rPr>
                <w:rFonts w:ascii="Calibri" w:eastAsia="SimSun" w:hAnsi="Calibri" w:cs="Times New Roman"/>
              </w:rPr>
              <w:t xml:space="preserve"> severe sepsis and septic shock CFRs, the disparity between developing and developed countries persists. Further characterizations of vulnerable populations and collaborations between developed and developing countries are warranted to reduce the burden of </w:t>
            </w:r>
            <w:proofErr w:type="spellStart"/>
            <w:r w:rsidRPr="00F64DCB">
              <w:rPr>
                <w:rFonts w:ascii="Calibri" w:eastAsia="SimSun" w:hAnsi="Calibri" w:cs="Times New Roman"/>
              </w:rPr>
              <w:t>pediatric</w:t>
            </w:r>
            <w:proofErr w:type="spellEnd"/>
            <w:r w:rsidRPr="00F64DCB">
              <w:rPr>
                <w:rFonts w:ascii="Calibri" w:eastAsia="SimSun" w:hAnsi="Calibri" w:cs="Times New Roman"/>
              </w:rPr>
              <w:t xml:space="preserve"> sepsis globally.</w:t>
            </w:r>
          </w:p>
          <w:p w14:paraId="1ADB1908"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625C195A"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18" w:history="1">
              <w:r w:rsidRPr="00F64DCB">
                <w:rPr>
                  <w:rFonts w:ascii="Calibri" w:eastAsia="SimSun" w:hAnsi="Calibri" w:cs="Times New Roman"/>
                  <w:color w:val="0000FF"/>
                  <w:u w:val="single"/>
                </w:rPr>
                <w:t>Low-risk factors for severe bacterial infection and acute chest syndrome in children with sickle cell disease.</w:t>
              </w:r>
            </w:hyperlink>
          </w:p>
          <w:p w14:paraId="02457C8C"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proofErr w:type="spellStart"/>
            <w:r w:rsidRPr="00F64DCB">
              <w:rPr>
                <w:rFonts w:ascii="Calibri" w:eastAsia="SimSun" w:hAnsi="Calibri" w:cs="Times New Roman"/>
                <w:lang w:val="fr-FR"/>
              </w:rPr>
              <w:t>Rincón-López</w:t>
            </w:r>
            <w:proofErr w:type="spellEnd"/>
            <w:r w:rsidRPr="00F64DCB">
              <w:rPr>
                <w:rFonts w:ascii="Calibri" w:eastAsia="SimSun" w:hAnsi="Calibri" w:cs="Times New Roman"/>
                <w:lang w:val="fr-FR"/>
              </w:rPr>
              <w:t xml:space="preserve"> E.M. et al</w:t>
            </w:r>
          </w:p>
          <w:p w14:paraId="3EC7BB16"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proofErr w:type="spellStart"/>
            <w:r w:rsidRPr="00F64DCB">
              <w:rPr>
                <w:rFonts w:ascii="Calibri" w:eastAsia="SimSun" w:hAnsi="Calibri" w:cs="Times New Roman"/>
                <w:b/>
                <w:bCs/>
              </w:rPr>
              <w:t>Pediatr</w:t>
            </w:r>
            <w:proofErr w:type="spellEnd"/>
            <w:r w:rsidRPr="00F64DCB">
              <w:rPr>
                <w:rFonts w:ascii="Calibri" w:eastAsia="SimSun" w:hAnsi="Calibri" w:cs="Times New Roman"/>
                <w:b/>
                <w:bCs/>
              </w:rPr>
              <w:t xml:space="preserve"> Blood Cancer</w:t>
            </w:r>
            <w:r w:rsidRPr="00F64DCB">
              <w:rPr>
                <w:rFonts w:ascii="Calibri" w:eastAsia="SimSun" w:hAnsi="Calibri" w:cs="Times New Roman"/>
              </w:rPr>
              <w:t xml:space="preserve">. 2019 Feb </w:t>
            </w:r>
            <w:proofErr w:type="gramStart"/>
            <w:r w:rsidRPr="00F64DCB">
              <w:rPr>
                <w:rFonts w:ascii="Calibri" w:eastAsia="SimSun" w:hAnsi="Calibri" w:cs="Times New Roman"/>
              </w:rPr>
              <w:t>10:e</w:t>
            </w:r>
            <w:proofErr w:type="gramEnd"/>
            <w:r w:rsidRPr="00F64DCB">
              <w:rPr>
                <w:rFonts w:ascii="Calibri" w:eastAsia="SimSun" w:hAnsi="Calibri" w:cs="Times New Roman"/>
              </w:rPr>
              <w:t>27667.</w:t>
            </w:r>
          </w:p>
          <w:p w14:paraId="0F6105A0"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xml:space="preserve">To determine the rate of severe bacterial infection (SBI) in a cohort of children with SCD and to describe low-risk factors for confirmed SBI (CSBI) and acute chest syndrome (ACS). In this cohort of children with SCD who were well vaccinated and received adequate prophylaxis, we found a low rate of </w:t>
            </w:r>
            <w:proofErr w:type="spellStart"/>
            <w:r w:rsidRPr="00F64DCB">
              <w:rPr>
                <w:rFonts w:ascii="Calibri" w:eastAsia="SimSun" w:hAnsi="Calibri" w:cs="Times New Roman"/>
              </w:rPr>
              <w:t>bacteremia</w:t>
            </w:r>
            <w:proofErr w:type="spellEnd"/>
            <w:r w:rsidRPr="00F64DCB">
              <w:rPr>
                <w:rFonts w:ascii="Calibri" w:eastAsia="SimSun" w:hAnsi="Calibri" w:cs="Times New Roman"/>
              </w:rPr>
              <w:t xml:space="preserve"> and CSBI. We described several low-risk factors for CSBI and ACS, all of them with a high NPV. These findings may help to develop a risk score to safely select the patients that could be managed with a more conservative approach.</w:t>
            </w:r>
          </w:p>
          <w:p w14:paraId="1821924F"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5AF6A99A"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19" w:history="1">
              <w:r w:rsidRPr="00F64DCB">
                <w:rPr>
                  <w:rFonts w:ascii="Calibri" w:eastAsia="SimSun" w:hAnsi="Calibri" w:cs="Times New Roman"/>
                  <w:color w:val="0000FF"/>
                  <w:u w:val="single"/>
                </w:rPr>
                <w:t>A meta-analysis of interleukin-6 as a valid and accurate index in diagnosing early neonatal sepsis</w:t>
              </w:r>
            </w:hyperlink>
          </w:p>
          <w:p w14:paraId="43D56F08"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lang w:val="fr-FR"/>
              </w:rPr>
              <w:t>Bo Sun, L-F.L. et al</w:t>
            </w:r>
          </w:p>
          <w:p w14:paraId="6E1169EF"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International Wound Journal</w:t>
            </w:r>
            <w:r w:rsidRPr="00F64DCB">
              <w:rPr>
                <w:rFonts w:ascii="Calibri" w:eastAsia="SimSun" w:hAnsi="Calibri" w:cs="Times New Roman"/>
              </w:rPr>
              <w:t xml:space="preserve"> 2019 February 7</w:t>
            </w:r>
          </w:p>
          <w:p w14:paraId="2D19E279"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xml:space="preserve">We aimed to systematically assess the overall value of interleukin 6 (IL-6) in diagnosing neonates with sepsis. Our results suggested that IL-6 is a valid and accurate index in diagnosing early neonatal sepsis, but it still </w:t>
            </w:r>
            <w:r w:rsidRPr="00F64DCB">
              <w:rPr>
                <w:rFonts w:ascii="Calibri" w:eastAsia="SimSun" w:hAnsi="Calibri" w:cs="Times New Roman"/>
              </w:rPr>
              <w:lastRenderedPageBreak/>
              <w:t>needs to be combined with other laboratory tests and specific clinical manifestations.</w:t>
            </w:r>
          </w:p>
          <w:p w14:paraId="5511FE1E"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lang w:eastAsia="zh-CN"/>
              </w:rPr>
              <w:t> </w:t>
            </w:r>
          </w:p>
          <w:p w14:paraId="2E4EADA6"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lang w:eastAsia="zh-CN"/>
              </w:rPr>
              <w:t> </w:t>
            </w:r>
          </w:p>
          <w:p w14:paraId="1B689099"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lang w:eastAsia="zh-CN"/>
              </w:rPr>
              <w:t>Adult sepsis</w:t>
            </w:r>
          </w:p>
          <w:p w14:paraId="15800883"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20" w:history="1">
              <w:r w:rsidRPr="00F64DCB">
                <w:rPr>
                  <w:rFonts w:ascii="Calibri" w:eastAsia="SimSun" w:hAnsi="Calibri" w:cs="Times New Roman"/>
                  <w:color w:val="0000FF"/>
                  <w:u w:val="single"/>
                </w:rPr>
                <w:t>Sepsis - thoughtful management for the non-expert</w:t>
              </w:r>
            </w:hyperlink>
          </w:p>
          <w:p w14:paraId="6BD355A4"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proofErr w:type="spellStart"/>
            <w:r w:rsidRPr="00F64DCB">
              <w:rPr>
                <w:rFonts w:ascii="Calibri" w:eastAsia="SimSun" w:hAnsi="Calibri" w:cs="Times New Roman"/>
              </w:rPr>
              <w:t>Tidswell</w:t>
            </w:r>
            <w:proofErr w:type="spellEnd"/>
            <w:r w:rsidRPr="00F64DCB">
              <w:rPr>
                <w:rFonts w:ascii="Calibri" w:eastAsia="SimSun" w:hAnsi="Calibri" w:cs="Times New Roman"/>
              </w:rPr>
              <w:t xml:space="preserve">, </w:t>
            </w:r>
            <w:proofErr w:type="gramStart"/>
            <w:r w:rsidRPr="00F64DCB">
              <w:rPr>
                <w:rFonts w:ascii="Calibri" w:eastAsia="SimSun" w:hAnsi="Calibri" w:cs="Times New Roman"/>
              </w:rPr>
              <w:t>R ;</w:t>
            </w:r>
            <w:proofErr w:type="gramEnd"/>
            <w:r w:rsidRPr="00F64DCB">
              <w:rPr>
                <w:rFonts w:ascii="Calibri" w:eastAsia="SimSun" w:hAnsi="Calibri" w:cs="Times New Roman"/>
              </w:rPr>
              <w:t xml:space="preserve"> Singer, M</w:t>
            </w:r>
          </w:p>
          <w:p w14:paraId="25895C6E"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 xml:space="preserve">Clinical </w:t>
            </w:r>
            <w:proofErr w:type="gramStart"/>
            <w:r w:rsidRPr="00F64DCB">
              <w:rPr>
                <w:rFonts w:ascii="Calibri" w:eastAsia="SimSun" w:hAnsi="Calibri" w:cs="Times New Roman"/>
                <w:b/>
                <w:bCs/>
              </w:rPr>
              <w:t>Medicine</w:t>
            </w:r>
            <w:r w:rsidRPr="00F64DCB">
              <w:rPr>
                <w:rFonts w:ascii="Calibri" w:eastAsia="SimSun" w:hAnsi="Calibri" w:cs="Times New Roman"/>
              </w:rPr>
              <w:t xml:space="preserve"> ,</w:t>
            </w:r>
            <w:proofErr w:type="gramEnd"/>
            <w:r w:rsidRPr="00F64DCB">
              <w:rPr>
                <w:rFonts w:ascii="Calibri" w:eastAsia="SimSun" w:hAnsi="Calibri" w:cs="Times New Roman"/>
              </w:rPr>
              <w:t xml:space="preserve"> 18 (1) pp. 62-68. (2018)</w:t>
            </w:r>
          </w:p>
          <w:p w14:paraId="21ABB883"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Sepsis is a common and often devastating medical emergency with a high mortality rate and, in many survivors, long-term morbidity. It is defined as the dysregulated host response to infection resulting in organ dysfunction, and its incidence is increasing as the population ages. However, it is a treatable and potentially reversible condition, especially if identified and treated promptly. A sound understanding of sepsis is crucial for optimal care. Although general guidelines are available for management, here we provide a foundation of understanding to encourage thoughtful, personalised management of sepsis during the acute phase. We provide an overview of the epidemiology, the new Sepsis-3 definitions, pathophysiology, clinical presentations, and investigation and management of sepsis for the non-expert.</w:t>
            </w:r>
          </w:p>
          <w:p w14:paraId="53D2372E"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429BC564"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21" w:history="1">
              <w:r w:rsidRPr="00F64DCB">
                <w:rPr>
                  <w:rFonts w:ascii="Calibri" w:eastAsia="SimSun" w:hAnsi="Calibri" w:cs="Times New Roman"/>
                  <w:color w:val="0000FF"/>
                  <w:u w:val="single"/>
                </w:rPr>
                <w:t>ATP in red blood cells as biomarker for sepsis in humans</w:t>
              </w:r>
            </w:hyperlink>
          </w:p>
          <w:p w14:paraId="6CF05375"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proofErr w:type="spellStart"/>
            <w:r w:rsidRPr="00F64DCB">
              <w:rPr>
                <w:rFonts w:ascii="Calibri" w:eastAsia="SimSun" w:hAnsi="Calibri" w:cs="Times New Roman"/>
                <w:lang w:val="fr-FR"/>
              </w:rPr>
              <w:t>Yixian</w:t>
            </w:r>
            <w:proofErr w:type="spellEnd"/>
            <w:r w:rsidRPr="00F64DCB">
              <w:rPr>
                <w:rFonts w:ascii="Calibri" w:eastAsia="SimSun" w:hAnsi="Calibri" w:cs="Times New Roman"/>
                <w:lang w:val="fr-FR"/>
              </w:rPr>
              <w:t xml:space="preserve"> Li, J.Z. et al </w:t>
            </w:r>
          </w:p>
          <w:p w14:paraId="5ABEB04E"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Medical Hypotheses</w:t>
            </w:r>
            <w:r w:rsidRPr="00F64DCB">
              <w:rPr>
                <w:rFonts w:ascii="Calibri" w:eastAsia="SimSun" w:hAnsi="Calibri" w:cs="Times New Roman"/>
              </w:rPr>
              <w:t>, Volume 124, March 2019, Pages 84-86</w:t>
            </w:r>
          </w:p>
          <w:p w14:paraId="607E8377"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Sepsis is defined as life-threatening organ dysfunction caused by a dysregulated host response to an infection. Due to the lack of causative immune treatment, mortality of sepsis remains at a high level and represents one of the main disease burdens globally. Adenosine 5′ triphosphate (ATP) levels in red blood cells (RBC) are modulated by various factors during sepsis, including a decrease in ATP production, an increase in ATP catabolism and alterations in ATP release. Therefore, we hypothesize that intracellular ATP levels in RBC can serve as potential biomarker for sepsis and support sepsis diagnosis. This will facilitate early treatment and could improve the outcome of this serious condition.</w:t>
            </w:r>
          </w:p>
          <w:p w14:paraId="708651FB"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lang w:eastAsia="zh-CN"/>
              </w:rPr>
              <w:t> </w:t>
            </w:r>
          </w:p>
        </w:tc>
        <w:tc>
          <w:tcPr>
            <w:tcW w:w="5145" w:type="dxa"/>
            <w:tcBorders>
              <w:top w:val="nil"/>
              <w:left w:val="nil"/>
              <w:bottom w:val="single" w:sz="8" w:space="0" w:color="auto"/>
              <w:right w:val="single" w:sz="8" w:space="0" w:color="auto"/>
            </w:tcBorders>
            <w:tcMar>
              <w:top w:w="142" w:type="dxa"/>
              <w:left w:w="108" w:type="dxa"/>
              <w:bottom w:w="142" w:type="dxa"/>
              <w:right w:w="108" w:type="dxa"/>
            </w:tcMar>
            <w:hideMark/>
          </w:tcPr>
          <w:p w14:paraId="6C03FDA5"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lang w:eastAsia="zh-CN"/>
              </w:rPr>
              <w:lastRenderedPageBreak/>
              <w:t>Adult sepsis (cont.)</w:t>
            </w:r>
          </w:p>
          <w:p w14:paraId="70269FB2"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22" w:history="1">
              <w:r w:rsidRPr="00F64DCB">
                <w:rPr>
                  <w:rFonts w:ascii="Calibri" w:eastAsia="SimSun" w:hAnsi="Calibri" w:cs="Times New Roman"/>
                  <w:color w:val="0000FF"/>
                  <w:u w:val="single"/>
                </w:rPr>
                <w:t>Hyponatremia could identify patients with intrabdominal sepsis and anastomotic leak after colorectal surgery: a systematic review of the literature.</w:t>
              </w:r>
            </w:hyperlink>
          </w:p>
          <w:p w14:paraId="14C95A24"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proofErr w:type="spellStart"/>
            <w:r w:rsidRPr="00F64DCB">
              <w:rPr>
                <w:rFonts w:ascii="Calibri" w:eastAsia="SimSun" w:hAnsi="Calibri" w:cs="Times New Roman"/>
              </w:rPr>
              <w:t>Alsaleh</w:t>
            </w:r>
            <w:proofErr w:type="spellEnd"/>
            <w:r w:rsidRPr="00F64DCB">
              <w:rPr>
                <w:rFonts w:ascii="Calibri" w:eastAsia="SimSun" w:hAnsi="Calibri" w:cs="Times New Roman"/>
              </w:rPr>
              <w:t xml:space="preserve"> A. et al</w:t>
            </w:r>
          </w:p>
          <w:p w14:paraId="0B93CEE7"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Updates Surg</w:t>
            </w:r>
            <w:r w:rsidRPr="00F64DCB">
              <w:rPr>
                <w:rFonts w:ascii="Calibri" w:eastAsia="SimSun" w:hAnsi="Calibri" w:cs="Times New Roman"/>
              </w:rPr>
              <w:t xml:space="preserve">. 2019 Feb 8. </w:t>
            </w:r>
          </w:p>
          <w:p w14:paraId="407533C2"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Anastomotic leak (AL) is a serious post-operative complication in colorectal surgery. It can lead to devastating morbidity and mortality. Clinicians usually depend on a combination of clinical, biochemical and radiological findings to diagnose this problem. In our article, we tried to look if electrolyte disturbances could be indicators for intra-abdominal sepsis due to AL. Systematic review of the literature identifies a potential correlation between electrolyte alterations and AL in digestive surgery. Hyponatremia seems to be a significant and clinically relevant marker for of intra-abdominal sepsis and AL.</w:t>
            </w:r>
          </w:p>
          <w:p w14:paraId="6B4F6A06"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60A34C22"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23" w:history="1">
              <w:r w:rsidRPr="00F64DCB">
                <w:rPr>
                  <w:rFonts w:ascii="Calibri" w:eastAsia="SimSun" w:hAnsi="Calibri" w:cs="Times New Roman"/>
                  <w:color w:val="0000FF"/>
                  <w:u w:val="single"/>
                </w:rPr>
                <w:t>New perspectives for the treatment of the patient with sepsis</w:t>
              </w:r>
            </w:hyperlink>
          </w:p>
          <w:p w14:paraId="73AC9A2D"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proofErr w:type="spellStart"/>
            <w:r w:rsidRPr="00F64DCB">
              <w:rPr>
                <w:rFonts w:ascii="Calibri" w:eastAsia="SimSun" w:hAnsi="Calibri" w:cs="Times New Roman"/>
              </w:rPr>
              <w:lastRenderedPageBreak/>
              <w:t>Cárnio</w:t>
            </w:r>
            <w:proofErr w:type="spellEnd"/>
            <w:r w:rsidRPr="00F64DCB">
              <w:rPr>
                <w:rFonts w:ascii="Calibri" w:eastAsia="SimSun" w:hAnsi="Calibri" w:cs="Times New Roman"/>
              </w:rPr>
              <w:t xml:space="preserve">, Evelin </w:t>
            </w:r>
            <w:proofErr w:type="spellStart"/>
            <w:r w:rsidRPr="00F64DCB">
              <w:rPr>
                <w:rFonts w:ascii="Calibri" w:eastAsia="SimSun" w:hAnsi="Calibri" w:cs="Times New Roman"/>
              </w:rPr>
              <w:t>Capellari</w:t>
            </w:r>
            <w:proofErr w:type="spellEnd"/>
          </w:p>
          <w:p w14:paraId="3FA3AAC8"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proofErr w:type="spellStart"/>
            <w:r w:rsidRPr="00F64DCB">
              <w:rPr>
                <w:rFonts w:ascii="Calibri" w:eastAsia="SimSun" w:hAnsi="Calibri" w:cs="Times New Roman"/>
                <w:b/>
                <w:bCs/>
              </w:rPr>
              <w:t>Revista</w:t>
            </w:r>
            <w:proofErr w:type="spellEnd"/>
            <w:r w:rsidRPr="00F64DCB">
              <w:rPr>
                <w:rFonts w:ascii="Calibri" w:eastAsia="SimSun" w:hAnsi="Calibri" w:cs="Times New Roman"/>
                <w:b/>
                <w:bCs/>
              </w:rPr>
              <w:t xml:space="preserve"> Latino-Americana de </w:t>
            </w:r>
            <w:proofErr w:type="spellStart"/>
            <w:r w:rsidRPr="00F64DCB">
              <w:rPr>
                <w:rFonts w:ascii="Calibri" w:eastAsia="SimSun" w:hAnsi="Calibri" w:cs="Times New Roman"/>
                <w:b/>
                <w:bCs/>
              </w:rPr>
              <w:t>Enfermagem</w:t>
            </w:r>
            <w:proofErr w:type="spellEnd"/>
            <w:r w:rsidRPr="00F64DCB">
              <w:rPr>
                <w:rFonts w:ascii="Calibri" w:eastAsia="SimSun" w:hAnsi="Calibri" w:cs="Times New Roman"/>
              </w:rPr>
              <w:t>, 2019, Vol.27</w:t>
            </w:r>
          </w:p>
          <w:p w14:paraId="04DB8D02"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In 2016, the Society of Critical Care Medicine (SCCM) and the European Society of Intensive Care Medicine (ESICM) published new definitions. They also created the campaign Surviving Sepsis, which provided guidelines for the treatment of the disease worldwide. These guidelines were reviewed in May 2018 and underwent some changes. This is a brief overview of the changes</w:t>
            </w:r>
          </w:p>
          <w:p w14:paraId="75BD2ABD"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751D8A85"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24" w:history="1">
              <w:r w:rsidRPr="00F64DCB">
                <w:rPr>
                  <w:rFonts w:ascii="Calibri" w:eastAsia="SimSun" w:hAnsi="Calibri" w:cs="Times New Roman"/>
                  <w:color w:val="0000FF"/>
                  <w:u w:val="single"/>
                </w:rPr>
                <w:t>Challenging the One-Hour Sepsis Bundle</w:t>
              </w:r>
            </w:hyperlink>
          </w:p>
          <w:p w14:paraId="095805E2"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xml:space="preserve">Kalantari, </w:t>
            </w:r>
            <w:proofErr w:type="spellStart"/>
            <w:proofErr w:type="gramStart"/>
            <w:r w:rsidRPr="00F64DCB">
              <w:rPr>
                <w:rFonts w:ascii="Calibri" w:eastAsia="SimSun" w:hAnsi="Calibri" w:cs="Times New Roman"/>
              </w:rPr>
              <w:t>Annahieta</w:t>
            </w:r>
            <w:proofErr w:type="spellEnd"/>
            <w:r w:rsidRPr="00F64DCB">
              <w:rPr>
                <w:rFonts w:ascii="Calibri" w:eastAsia="SimSun" w:hAnsi="Calibri" w:cs="Times New Roman"/>
              </w:rPr>
              <w:t xml:space="preserve"> ;</w:t>
            </w:r>
            <w:proofErr w:type="gramEnd"/>
            <w:r w:rsidRPr="00F64DCB">
              <w:rPr>
                <w:rFonts w:ascii="Calibri" w:eastAsia="SimSun" w:hAnsi="Calibri" w:cs="Times New Roman"/>
              </w:rPr>
              <w:t xml:space="preserve"> </w:t>
            </w:r>
            <w:proofErr w:type="spellStart"/>
            <w:r w:rsidRPr="00F64DCB">
              <w:rPr>
                <w:rFonts w:ascii="Calibri" w:eastAsia="SimSun" w:hAnsi="Calibri" w:cs="Times New Roman"/>
              </w:rPr>
              <w:t>Rezaie</w:t>
            </w:r>
            <w:proofErr w:type="spellEnd"/>
            <w:r w:rsidRPr="00F64DCB">
              <w:rPr>
                <w:rFonts w:ascii="Calibri" w:eastAsia="SimSun" w:hAnsi="Calibri" w:cs="Times New Roman"/>
              </w:rPr>
              <w:t>, Salim</w:t>
            </w:r>
          </w:p>
          <w:p w14:paraId="10E6626E"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Western Journal of Emergency Medicine</w:t>
            </w:r>
            <w:r w:rsidRPr="00F64DCB">
              <w:rPr>
                <w:rFonts w:ascii="Calibri" w:eastAsia="SimSun" w:hAnsi="Calibri" w:cs="Times New Roman"/>
              </w:rPr>
              <w:t xml:space="preserve"> 2019</w:t>
            </w:r>
          </w:p>
          <w:p w14:paraId="715AD9B2"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In April 2018, the Surviving Sepsis Campaign (SSC) released an updated sepsis bundle, which combines directives previously listed in the three-hour and six-hour bundles. The authors discussed the reasoning and evidence supporting these changes. However, there are data that suggest these recommendations may be contrary to the best available evidence. Our purpose here is to highlight the areas where evidence is only as strong as the methodological constructs of the research used. This article is a narrative review of the available, limited evidence on which the one-hour bundle was based.</w:t>
            </w:r>
          </w:p>
          <w:p w14:paraId="455E634C"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51142829"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25" w:history="1">
              <w:r w:rsidRPr="00F64DCB">
                <w:rPr>
                  <w:rFonts w:ascii="Calibri" w:eastAsia="SimSun" w:hAnsi="Calibri" w:cs="Times New Roman"/>
                  <w:color w:val="0000FF"/>
                  <w:u w:val="single"/>
                </w:rPr>
                <w:t xml:space="preserve">Risk factors for mortality in elderly and very elderly critically ill patients with sepsis: a prospective, observational, </w:t>
              </w:r>
              <w:proofErr w:type="spellStart"/>
              <w:r w:rsidRPr="00F64DCB">
                <w:rPr>
                  <w:rFonts w:ascii="Calibri" w:eastAsia="SimSun" w:hAnsi="Calibri" w:cs="Times New Roman"/>
                  <w:color w:val="0000FF"/>
                  <w:u w:val="single"/>
                </w:rPr>
                <w:t>multicenter</w:t>
              </w:r>
              <w:proofErr w:type="spellEnd"/>
              <w:r w:rsidRPr="00F64DCB">
                <w:rPr>
                  <w:rFonts w:ascii="Calibri" w:eastAsia="SimSun" w:hAnsi="Calibri" w:cs="Times New Roman"/>
                  <w:color w:val="0000FF"/>
                  <w:u w:val="single"/>
                </w:rPr>
                <w:t xml:space="preserve"> cohort study</w:t>
              </w:r>
            </w:hyperlink>
          </w:p>
          <w:p w14:paraId="0D5586A9"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lang w:val="fr-FR"/>
              </w:rPr>
              <w:t>Martin-</w:t>
            </w:r>
            <w:proofErr w:type="spellStart"/>
            <w:r w:rsidRPr="00F64DCB">
              <w:rPr>
                <w:rFonts w:ascii="Calibri" w:eastAsia="SimSun" w:hAnsi="Calibri" w:cs="Times New Roman"/>
                <w:lang w:val="fr-FR"/>
              </w:rPr>
              <w:t>Loeches</w:t>
            </w:r>
            <w:proofErr w:type="spellEnd"/>
            <w:r w:rsidRPr="00F64DCB">
              <w:rPr>
                <w:rFonts w:ascii="Calibri" w:eastAsia="SimSun" w:hAnsi="Calibri" w:cs="Times New Roman"/>
                <w:lang w:val="fr-FR"/>
              </w:rPr>
              <w:t>, I. et al.</w:t>
            </w:r>
          </w:p>
          <w:p w14:paraId="251BCC1A"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Annals of Intensive Care</w:t>
            </w:r>
            <w:r w:rsidRPr="00F64DCB">
              <w:rPr>
                <w:rFonts w:ascii="Calibri" w:eastAsia="SimSun" w:hAnsi="Calibri" w:cs="Times New Roman"/>
              </w:rPr>
              <w:t>, 12/2019, Vol.9(1)</w:t>
            </w:r>
          </w:p>
          <w:p w14:paraId="3671B898"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xml:space="preserve">Age has been traditionally considered a risk factor for mortality in elderly patients admitted to intensive care units. The aim of this prospective, observational, </w:t>
            </w:r>
            <w:proofErr w:type="spellStart"/>
            <w:r w:rsidRPr="00F64DCB">
              <w:rPr>
                <w:rFonts w:ascii="Calibri" w:eastAsia="SimSun" w:hAnsi="Calibri" w:cs="Times New Roman"/>
              </w:rPr>
              <w:t>multicenter</w:t>
            </w:r>
            <w:proofErr w:type="spellEnd"/>
            <w:r w:rsidRPr="00F64DCB">
              <w:rPr>
                <w:rFonts w:ascii="Calibri" w:eastAsia="SimSun" w:hAnsi="Calibri" w:cs="Times New Roman"/>
              </w:rPr>
              <w:t xml:space="preserve"> cohort study is to determine the risk factors for mortality in elderly and very elderly critically ill patients with sepsis. This prospective </w:t>
            </w:r>
            <w:proofErr w:type="spellStart"/>
            <w:r w:rsidRPr="00F64DCB">
              <w:rPr>
                <w:rFonts w:ascii="Calibri" w:eastAsia="SimSun" w:hAnsi="Calibri" w:cs="Times New Roman"/>
              </w:rPr>
              <w:t>multicenter</w:t>
            </w:r>
            <w:proofErr w:type="spellEnd"/>
            <w:r w:rsidRPr="00F64DCB">
              <w:rPr>
                <w:rFonts w:ascii="Calibri" w:eastAsia="SimSun" w:hAnsi="Calibri" w:cs="Times New Roman"/>
              </w:rPr>
              <w:t xml:space="preserve"> study found that patients aged 80 or over had higher hospital mortality compared to patients between 65 and 79 years. Age was found to be an independent risk factor only in the very elderly group, and prompt therapy provided within the first 6 h of resuscitation was associated with a reduction in hospital mortality in the very elderly patients.</w:t>
            </w:r>
          </w:p>
          <w:p w14:paraId="43C36D12"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3B3C1AD0"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26" w:history="1">
              <w:r w:rsidRPr="00F64DCB">
                <w:rPr>
                  <w:rFonts w:ascii="Calibri" w:eastAsia="SimSun" w:hAnsi="Calibri" w:cs="Times New Roman"/>
                  <w:color w:val="0000FF"/>
                  <w:u w:val="single"/>
                </w:rPr>
                <w:t xml:space="preserve">Effectiveness of Treatments and Diagnostic Tools and Declining Mortality in Patients </w:t>
              </w:r>
              <w:proofErr w:type="gramStart"/>
              <w:r w:rsidRPr="00F64DCB">
                <w:rPr>
                  <w:rFonts w:ascii="Calibri" w:eastAsia="SimSun" w:hAnsi="Calibri" w:cs="Times New Roman"/>
                  <w:color w:val="0000FF"/>
                  <w:u w:val="single"/>
                </w:rPr>
                <w:t>With</w:t>
              </w:r>
              <w:proofErr w:type="gramEnd"/>
              <w:r w:rsidRPr="00F64DCB">
                <w:rPr>
                  <w:rFonts w:ascii="Calibri" w:eastAsia="SimSun" w:hAnsi="Calibri" w:cs="Times New Roman"/>
                  <w:color w:val="0000FF"/>
                  <w:u w:val="single"/>
                </w:rPr>
                <w:t xml:space="preserve"> Severe Sepsis: A 12-Year Population-Based Cohort Study</w:t>
              </w:r>
            </w:hyperlink>
          </w:p>
          <w:p w14:paraId="0BDD7E26"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lang w:val="fr-FR"/>
              </w:rPr>
              <w:t>Chen, K.F. et al.</w:t>
            </w:r>
          </w:p>
          <w:p w14:paraId="4B3D3073"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Journal of intensive care medicine</w:t>
            </w:r>
            <w:r w:rsidRPr="00F64DCB">
              <w:rPr>
                <w:rFonts w:ascii="Calibri" w:eastAsia="SimSun" w:hAnsi="Calibri" w:cs="Times New Roman"/>
              </w:rPr>
              <w:t>, 30 January 2019, pp.885066619827270</w:t>
            </w:r>
          </w:p>
          <w:p w14:paraId="057891E9"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xml:space="preserve">Sepsis is a major cause of morbidity and mortality worldwide. With the advance of medical care, the </w:t>
            </w:r>
            <w:r w:rsidRPr="00F64DCB">
              <w:rPr>
                <w:rFonts w:ascii="Calibri" w:eastAsia="SimSun" w:hAnsi="Calibri" w:cs="Times New Roman"/>
              </w:rPr>
              <w:lastRenderedPageBreak/>
              <w:t xml:space="preserve">mortality of sepsis has decreased in the past decades. Many treatments and diagnostic tools still lack supporting evidence. We conducted a retrospective population-based cohort study with propensity score matched </w:t>
            </w:r>
            <w:proofErr w:type="spellStart"/>
            <w:r w:rsidRPr="00F64DCB">
              <w:rPr>
                <w:rFonts w:ascii="Calibri" w:eastAsia="SimSun" w:hAnsi="Calibri" w:cs="Times New Roman"/>
              </w:rPr>
              <w:t>subcohorts</w:t>
            </w:r>
            <w:proofErr w:type="spellEnd"/>
            <w:r w:rsidRPr="00F64DCB">
              <w:rPr>
                <w:rFonts w:ascii="Calibri" w:eastAsia="SimSun" w:hAnsi="Calibri" w:cs="Times New Roman"/>
              </w:rPr>
              <w:t xml:space="preserve"> based on a prospectively collected national longitudinal health insurance database in Taiwan.</w:t>
            </w:r>
          </w:p>
          <w:p w14:paraId="7D823ADB"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0818F200"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27" w:history="1">
              <w:r w:rsidRPr="00F64DCB">
                <w:rPr>
                  <w:rFonts w:ascii="Calibri" w:eastAsia="SimSun" w:hAnsi="Calibri" w:cs="Times New Roman"/>
                  <w:color w:val="0000FF"/>
                  <w:u w:val="single"/>
                </w:rPr>
                <w:t>Intra-abdominal sepsis: new definitions and current clinical standards</w:t>
              </w:r>
            </w:hyperlink>
          </w:p>
          <w:p w14:paraId="4008A904"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Hecker, A. et al</w:t>
            </w:r>
          </w:p>
          <w:p w14:paraId="2748CF14"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proofErr w:type="spellStart"/>
            <w:r w:rsidRPr="00F64DCB">
              <w:rPr>
                <w:rFonts w:ascii="Calibri" w:eastAsia="SimSun" w:hAnsi="Calibri" w:cs="Times New Roman"/>
                <w:b/>
                <w:bCs/>
              </w:rPr>
              <w:t>Langenbeck's</w:t>
            </w:r>
            <w:proofErr w:type="spellEnd"/>
            <w:r w:rsidRPr="00F64DCB">
              <w:rPr>
                <w:rFonts w:ascii="Calibri" w:eastAsia="SimSun" w:hAnsi="Calibri" w:cs="Times New Roman"/>
                <w:b/>
                <w:bCs/>
              </w:rPr>
              <w:t xml:space="preserve"> archives of s</w:t>
            </w:r>
            <w:r w:rsidRPr="00F64DCB">
              <w:rPr>
                <w:rFonts w:ascii="Calibri" w:eastAsia="SimSun" w:hAnsi="Calibri" w:cs="Times New Roman"/>
              </w:rPr>
              <w:t>urgery, 26 January 2019</w:t>
            </w:r>
          </w:p>
          <w:p w14:paraId="2F3CF6D4"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The abdomen is the second most common source of sepsis and is associated with unacceptably high morbidity and mortality. Recently, the essential definitions of sepsis and septic shock were updated (Third International Consensus Definitions for Sepsis and Septic Shock, Sepsis-3) and modified. The purpose of this review is to provide an overview of the changes introduced by Sepsis-3 and the current state of the art regarding the treatment of abdominal sepsis.</w:t>
            </w:r>
          </w:p>
          <w:p w14:paraId="50D5DE35"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37BA8420"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28" w:history="1">
              <w:r w:rsidRPr="00F64DCB">
                <w:rPr>
                  <w:rFonts w:ascii="Calibri" w:eastAsia="SimSun" w:hAnsi="Calibri" w:cs="Times New Roman"/>
                  <w:color w:val="0000FF"/>
                  <w:u w:val="single"/>
                </w:rPr>
                <w:t>Immature granulocytes as a sepsis predictor in patients undergoing cardiac surgery</w:t>
              </w:r>
            </w:hyperlink>
          </w:p>
          <w:p w14:paraId="096B968C"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proofErr w:type="spellStart"/>
            <w:r w:rsidRPr="00F64DCB">
              <w:rPr>
                <w:rFonts w:ascii="Calibri" w:eastAsia="SimSun" w:hAnsi="Calibri" w:cs="Times New Roman"/>
              </w:rPr>
              <w:t>Porizka</w:t>
            </w:r>
            <w:proofErr w:type="spellEnd"/>
            <w:r w:rsidRPr="00F64DCB">
              <w:rPr>
                <w:rFonts w:ascii="Calibri" w:eastAsia="SimSun" w:hAnsi="Calibri" w:cs="Times New Roman"/>
              </w:rPr>
              <w:t>, M. et al.</w:t>
            </w:r>
          </w:p>
          <w:p w14:paraId="7F7B20F1"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Interactive cardiovascular and thoracic surgery</w:t>
            </w:r>
            <w:r w:rsidRPr="00F64DCB">
              <w:rPr>
                <w:rFonts w:ascii="Calibri" w:eastAsia="SimSun" w:hAnsi="Calibri" w:cs="Times New Roman"/>
              </w:rPr>
              <w:t>, 23 January 2019</w:t>
            </w:r>
          </w:p>
          <w:p w14:paraId="31ABC493"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Usefulness of immature granulocyte percentage (IG%) to discriminate between postoperative non-infective systemic inflammatory response syndrome (SIRS) and sepsis was tested in cardiac surgical patients. In cardiac surgical patients, IG% is a helpful marker with the moderate ability to discriminate between sepsis and non-infective SIRS, comparable to serum PCT. A combination of these parameters increased the test's overall predictive ability by improving its specificity.</w:t>
            </w:r>
          </w:p>
          <w:p w14:paraId="25A0FB2B"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2BD06A34"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29" w:history="1">
              <w:r w:rsidRPr="00F64DCB">
                <w:rPr>
                  <w:rFonts w:ascii="Calibri" w:eastAsia="SimSun" w:hAnsi="Calibri" w:cs="Times New Roman"/>
                  <w:color w:val="0000FF"/>
                  <w:u w:val="single"/>
                </w:rPr>
                <w:t>Sepsis</w:t>
              </w:r>
            </w:hyperlink>
          </w:p>
          <w:p w14:paraId="75870E9A"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proofErr w:type="spellStart"/>
            <w:r w:rsidRPr="00F64DCB">
              <w:rPr>
                <w:rFonts w:ascii="Calibri" w:eastAsia="SimSun" w:hAnsi="Calibri" w:cs="Times New Roman"/>
              </w:rPr>
              <w:t>Arwyn</w:t>
            </w:r>
            <w:proofErr w:type="spellEnd"/>
            <w:r w:rsidRPr="00F64DCB">
              <w:rPr>
                <w:rFonts w:ascii="Calibri" w:eastAsia="SimSun" w:hAnsi="Calibri" w:cs="Times New Roman"/>
              </w:rPr>
              <w:t xml:space="preserve">-Jones, </w:t>
            </w:r>
            <w:proofErr w:type="gramStart"/>
            <w:r w:rsidRPr="00F64DCB">
              <w:rPr>
                <w:rFonts w:ascii="Calibri" w:eastAsia="SimSun" w:hAnsi="Calibri" w:cs="Times New Roman"/>
              </w:rPr>
              <w:t>James ;</w:t>
            </w:r>
            <w:proofErr w:type="gramEnd"/>
            <w:r w:rsidRPr="00F64DCB">
              <w:rPr>
                <w:rFonts w:ascii="Calibri" w:eastAsia="SimSun" w:hAnsi="Calibri" w:cs="Times New Roman"/>
              </w:rPr>
              <w:t xml:space="preserve"> Brent, Andrew J.</w:t>
            </w:r>
          </w:p>
          <w:p w14:paraId="59480F3F"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Surgery (Oxford),</w:t>
            </w:r>
            <w:r w:rsidRPr="00F64DCB">
              <w:rPr>
                <w:rFonts w:ascii="Calibri" w:eastAsia="SimSun" w:hAnsi="Calibri" w:cs="Times New Roman"/>
              </w:rPr>
              <w:t xml:space="preserve"> Volume 37, Issue 1, January 2019, Pages 1-8</w:t>
            </w:r>
          </w:p>
          <w:p w14:paraId="3C7DD3E8"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xml:space="preserve">Sepsis is a clinical syndrome that requires prompt recognition and control </w:t>
            </w:r>
            <w:proofErr w:type="gramStart"/>
            <w:r w:rsidRPr="00F64DCB">
              <w:rPr>
                <w:rFonts w:ascii="Calibri" w:eastAsia="SimSun" w:hAnsi="Calibri" w:cs="Times New Roman"/>
              </w:rPr>
              <w:t>in order to</w:t>
            </w:r>
            <w:proofErr w:type="gramEnd"/>
            <w:r w:rsidRPr="00F64DCB">
              <w:rPr>
                <w:rFonts w:ascii="Calibri" w:eastAsia="SimSun" w:hAnsi="Calibri" w:cs="Times New Roman"/>
              </w:rPr>
              <w:t xml:space="preserve"> optimize clinical outcomes in patients. It is very relevant to surgical practice, as it can affect perioperative patients and those recovering on surgical wards. A working knowledge of sepsis is essential to any medical or surgical practitioner, and here we cover the topic with relevance to surgery and the MRCS examination</w:t>
            </w:r>
          </w:p>
          <w:p w14:paraId="423733F6"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5AD1458C"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30" w:history="1">
              <w:r w:rsidRPr="00F64DCB">
                <w:rPr>
                  <w:rFonts w:ascii="Calibri" w:eastAsia="SimSun" w:hAnsi="Calibri" w:cs="Times New Roman"/>
                  <w:color w:val="0000FF"/>
                  <w:u w:val="single"/>
                </w:rPr>
                <w:t>Emergency nurses’ knowledge and understanding of their role in recognising and responding to patients with sepsis: A qualitative study</w:t>
              </w:r>
            </w:hyperlink>
          </w:p>
          <w:p w14:paraId="2965FC41"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lastRenderedPageBreak/>
              <w:t>Harley, A. et al.</w:t>
            </w:r>
          </w:p>
          <w:p w14:paraId="488B0EC6"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International Emergency Nursing</w:t>
            </w:r>
            <w:r w:rsidRPr="00F64DCB">
              <w:rPr>
                <w:rFonts w:ascii="Calibri" w:eastAsia="SimSun" w:hAnsi="Calibri" w:cs="Times New Roman"/>
              </w:rPr>
              <w:t xml:space="preserve"> 2019 Feb 4</w:t>
            </w:r>
          </w:p>
          <w:p w14:paraId="19C28E82"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Sepsis is a significant and time-sensitive clinical concern for patients who present to Emergency Departments (EDs). Existing guidelines do not define nurses' roles in managing sepsis. This study explored ED nurses' experiences and perceptions around recognising and responding to patients with sepsis, and their awareness of sepsis screening and prognostic tools. The knowledge and insights gained from this study may be used to inform local and international ED policies, and enrich nursing educational packages that may be used to improve quality of patient care and patient outcomes. ED nurses' identified deficits in their capacity to recognise and respond to patients with sepsis, despite their vital role within the multidisciplinary team that cares for patients with sepsis. The knowledge and insights gained from this study can be used to inform ED policies, to enrich context-specific educational packages that aim to improve quality of patient care and outcomes and identify areas for further research. Development and implementation of a nurse-inclusive sepsis pathway may address many deficits identified in this study.</w:t>
            </w:r>
          </w:p>
          <w:p w14:paraId="57E1DD21"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0EED14E8"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31" w:history="1">
              <w:r w:rsidRPr="00F64DCB">
                <w:rPr>
                  <w:rFonts w:ascii="Calibri" w:eastAsia="SimSun" w:hAnsi="Calibri" w:cs="Times New Roman"/>
                  <w:color w:val="0000FF"/>
                  <w:u w:val="single"/>
                </w:rPr>
                <w:t>Using local clinical and microbiological data to develop an institution specific carbapenem-sparing strategy in sepsis: a nested case-control study</w:t>
              </w:r>
            </w:hyperlink>
          </w:p>
          <w:p w14:paraId="3847BA8F"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proofErr w:type="spellStart"/>
            <w:r w:rsidRPr="00F64DCB">
              <w:rPr>
                <w:rFonts w:ascii="Calibri" w:eastAsia="SimSun" w:hAnsi="Calibri" w:cs="Times New Roman"/>
                <w:lang w:val="fr-FR"/>
              </w:rPr>
              <w:t>Lambregts</w:t>
            </w:r>
            <w:proofErr w:type="spellEnd"/>
            <w:r w:rsidRPr="00F64DCB">
              <w:rPr>
                <w:rFonts w:ascii="Calibri" w:eastAsia="SimSun" w:hAnsi="Calibri" w:cs="Times New Roman"/>
                <w:lang w:val="fr-FR"/>
              </w:rPr>
              <w:t>, M.M.C. et al</w:t>
            </w:r>
          </w:p>
          <w:p w14:paraId="32CCD538"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Antimicrobial resistance and infection control</w:t>
            </w:r>
            <w:r w:rsidRPr="00F64DCB">
              <w:rPr>
                <w:rFonts w:ascii="Calibri" w:eastAsia="SimSun" w:hAnsi="Calibri" w:cs="Times New Roman"/>
              </w:rPr>
              <w:t>, 2019, Vol.8, pp.19</w:t>
            </w:r>
          </w:p>
          <w:p w14:paraId="771C93F1"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From a stewardship perspective it is recommended that antibiotic guidelines are adjusted to the local setting, accounting for the local epidemiology of pathogens. In many settings the prevalence of Gram-negative pathogens with resistance to empiric sepsis therapy is increasing. How and when to escalate standard sepsis therapy to a reserve antimicrobial agent, is a recurrent dilemma. The study objective was to develop decision strategies for empiric sepsis therapy based on local microbiological and clinical data, and estimate the number needed to treat with a carbapenem to avoid mismatch of empiric therapy in one patient (NNTC). A risk-based approach in empiric sepsis therapy has the potential to better target the use of reserve antimicrobial agents aimed at multi-resistant Gram-negative pathogens. A structured evaluation of the expected antimicrobial consumption and antibiotic adequacy rates is essential to be able to weigh the costs and benefits of potential antibiotic strategies and select the most appropriate approach.</w:t>
            </w:r>
          </w:p>
          <w:p w14:paraId="1E647326"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0EA2302E"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32" w:history="1">
              <w:r w:rsidRPr="00F64DCB">
                <w:rPr>
                  <w:rFonts w:ascii="Calibri" w:eastAsia="SimSun" w:hAnsi="Calibri" w:cs="Times New Roman"/>
                  <w:color w:val="0000FF"/>
                  <w:u w:val="single"/>
                </w:rPr>
                <w:t>Incision &amp; Drainage of Perianal Sepsis in the Immunocompromised: A Need for Heightened Postoperative Awareness</w:t>
              </w:r>
            </w:hyperlink>
          </w:p>
          <w:p w14:paraId="7F1F111A"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Mckenna, N.P. et al.</w:t>
            </w:r>
          </w:p>
          <w:p w14:paraId="65DFFBB8"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 xml:space="preserve">The American Journal of Surgery </w:t>
            </w:r>
            <w:r w:rsidRPr="00F64DCB">
              <w:rPr>
                <w:rFonts w:ascii="Calibri" w:eastAsia="SimSun" w:hAnsi="Calibri" w:cs="Times New Roman"/>
              </w:rPr>
              <w:t>Jan 2019</w:t>
            </w:r>
          </w:p>
          <w:p w14:paraId="5CC8A3A0"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Incision and drainage of perianal sepsis has appreciable success in the immunocompetent population, but outcomes after incision and drainage in the immunosuppressed population are unknown. Immunosuppression is an independent risk factor for major morbidity, return to the operating room, and mortality. With post-operative sepsis the most common complication, inpatient admission and extended duration antibiotic therapy is warranted in immunosuppressed patients.</w:t>
            </w:r>
          </w:p>
          <w:p w14:paraId="183A0C8A"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 </w:t>
            </w:r>
          </w:p>
          <w:p w14:paraId="05FFD4B1"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hyperlink r:id="rId33" w:history="1">
              <w:r w:rsidRPr="00F64DCB">
                <w:rPr>
                  <w:rFonts w:ascii="Calibri" w:eastAsia="SimSun" w:hAnsi="Calibri" w:cs="Times New Roman"/>
                  <w:color w:val="0000FF"/>
                  <w:u w:val="single"/>
                </w:rPr>
                <w:t>Left ventricular systolic function evaluated by strain echocardiography and relationship with mortality in patients with severe sepsis or septic shock: a systematic review and meta-analysis</w:t>
              </w:r>
            </w:hyperlink>
          </w:p>
          <w:p w14:paraId="428F3383"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proofErr w:type="spellStart"/>
            <w:r w:rsidRPr="00F64DCB">
              <w:rPr>
                <w:rFonts w:ascii="Calibri" w:eastAsia="SimSun" w:hAnsi="Calibri" w:cs="Times New Roman"/>
                <w:lang w:val="fr-FR"/>
              </w:rPr>
              <w:t>Sanfilippo</w:t>
            </w:r>
            <w:proofErr w:type="spellEnd"/>
            <w:r w:rsidRPr="00F64DCB">
              <w:rPr>
                <w:rFonts w:ascii="Calibri" w:eastAsia="SimSun" w:hAnsi="Calibri" w:cs="Times New Roman"/>
                <w:lang w:val="fr-FR"/>
              </w:rPr>
              <w:t>, F. et al.</w:t>
            </w:r>
          </w:p>
          <w:p w14:paraId="0AB7FEB0"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b/>
                <w:bCs/>
              </w:rPr>
              <w:t>Critical Care</w:t>
            </w:r>
            <w:r w:rsidRPr="00F64DCB">
              <w:rPr>
                <w:rFonts w:ascii="Calibri" w:eastAsia="SimSun" w:hAnsi="Calibri" w:cs="Times New Roman"/>
              </w:rPr>
              <w:t>, 12/2018, Vol.22(1)</w:t>
            </w:r>
          </w:p>
          <w:p w14:paraId="4FB24E19"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rPr>
              <w:t>Sepsis-induced myocardial dysfunction is associated with poor outcomes, but traditional measurements of systolic function such as left ventricular ejection fraction (LVEF) do not directly correlate with prognosis. Global longitudinal strain (GLS) utilizing speckle-tracking echocardiography (STE) could be a better marker of intrinsic left ventricular (LV) function, reflecting myocardial deformation rather than displacement and volume changes. We sought to investigate the prognostic value of GLS in patients with sepsis and/or septic shock. Worse GLS (less negative) values are associated with higher mortality in patients with severe sepsis or septic shock, while such association is not valid for LVEF. More critical care research is warranted to confirm the better ability of STE in demonstrating underlying intrinsic myocardial disease compared to LVEF.</w:t>
            </w:r>
          </w:p>
        </w:tc>
      </w:tr>
      <w:tr w:rsidR="00F64DCB" w:rsidRPr="00F64DCB" w14:paraId="425A1D12" w14:textId="77777777" w:rsidTr="00F64DCB">
        <w:tc>
          <w:tcPr>
            <w:tcW w:w="10356" w:type="dxa"/>
            <w:gridSpan w:val="2"/>
            <w:tcBorders>
              <w:top w:val="nil"/>
              <w:left w:val="single" w:sz="8" w:space="0" w:color="auto"/>
              <w:bottom w:val="single" w:sz="8" w:space="0" w:color="auto"/>
              <w:right w:val="single" w:sz="8" w:space="0" w:color="auto"/>
            </w:tcBorders>
            <w:shd w:val="clear" w:color="auto" w:fill="DBE5F1"/>
            <w:tcMar>
              <w:top w:w="142" w:type="dxa"/>
              <w:left w:w="108" w:type="dxa"/>
              <w:bottom w:w="142" w:type="dxa"/>
              <w:right w:w="108" w:type="dxa"/>
            </w:tcMar>
            <w:hideMark/>
          </w:tcPr>
          <w:p w14:paraId="516D8D9C"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r w:rsidRPr="00F64DCB">
              <w:rPr>
                <w:rFonts w:ascii="Calibri" w:eastAsia="SimSun" w:hAnsi="Calibri" w:cs="Times New Roman"/>
                <w:b/>
                <w:bCs/>
                <w:lang w:eastAsia="zh-CN"/>
              </w:rPr>
              <w:lastRenderedPageBreak/>
              <w:t> </w:t>
            </w:r>
          </w:p>
          <w:p w14:paraId="72DE7C0D"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r w:rsidRPr="00F64DCB">
              <w:rPr>
                <w:rFonts w:ascii="Calibri" w:eastAsia="SimSun" w:hAnsi="Calibri" w:cs="Times New Roman"/>
                <w:b/>
                <w:bCs/>
                <w:lang w:eastAsia="zh-CN"/>
              </w:rPr>
              <w:t>Need further help? The outreach team at the Bodleian Health Care Libraries is here to support the information needs of all OUH Trust staff.</w:t>
            </w:r>
          </w:p>
          <w:p w14:paraId="5C49EB84"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r w:rsidRPr="00F64DCB">
              <w:rPr>
                <w:rFonts w:ascii="Calibri" w:eastAsia="SimSun" w:hAnsi="Calibri" w:cs="Times New Roman"/>
                <w:b/>
                <w:bCs/>
                <w:lang w:eastAsia="zh-CN"/>
              </w:rPr>
              <w:t>We’re happy to help you with literature searches, search skills training and advice, keeping you up to date, and general references enquiries.</w:t>
            </w:r>
          </w:p>
          <w:p w14:paraId="1ADD1D44"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r w:rsidRPr="00F64DCB">
              <w:rPr>
                <w:rFonts w:ascii="Calibri" w:eastAsia="SimSun" w:hAnsi="Calibri" w:cs="Times New Roman"/>
                <w:lang w:eastAsia="zh-CN"/>
              </w:rPr>
              <w:lastRenderedPageBreak/>
              <w:t> </w:t>
            </w:r>
          </w:p>
          <w:p w14:paraId="2FB88C47"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r w:rsidRPr="00F64DCB">
              <w:rPr>
                <w:rFonts w:ascii="Calibri" w:eastAsia="SimSun" w:hAnsi="Calibri" w:cs="Times New Roman"/>
                <w:lang w:eastAsia="zh-CN"/>
              </w:rPr>
              <w:t>Contact us:</w:t>
            </w:r>
          </w:p>
          <w:p w14:paraId="55EA39B6"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r w:rsidRPr="00F64DCB">
              <w:rPr>
                <w:rFonts w:ascii="Calibri" w:eastAsia="SimSun" w:hAnsi="Calibri" w:cs="Times New Roman"/>
                <w:lang w:eastAsia="zh-CN"/>
              </w:rPr>
              <w:t>01865 221936</w:t>
            </w:r>
          </w:p>
          <w:p w14:paraId="15B4E49E"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hyperlink r:id="rId34" w:history="1">
              <w:r w:rsidRPr="00F64DCB">
                <w:rPr>
                  <w:rFonts w:ascii="Calibri" w:eastAsia="SimSun" w:hAnsi="Calibri" w:cs="Times New Roman"/>
                  <w:color w:val="0000FF"/>
                  <w:u w:val="single"/>
                  <w:lang w:eastAsia="zh-CN"/>
                </w:rPr>
                <w:t>hcl-enquiries@bodleian.ox.ac.uk</w:t>
              </w:r>
            </w:hyperlink>
          </w:p>
          <w:p w14:paraId="57B351A5"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hyperlink r:id="rId35" w:history="1">
              <w:r w:rsidRPr="00F64DCB">
                <w:rPr>
                  <w:rFonts w:ascii="Calibri" w:eastAsia="SimSun" w:hAnsi="Calibri" w:cs="Times New Roman"/>
                  <w:color w:val="0000FF"/>
                  <w:u w:val="single"/>
                  <w:lang w:eastAsia="zh-CN"/>
                </w:rPr>
                <w:t>www.bodleian.ox.ac.uk/nhs</w:t>
              </w:r>
            </w:hyperlink>
          </w:p>
          <w:p w14:paraId="15501563"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r w:rsidRPr="00F64DCB">
              <w:rPr>
                <w:rFonts w:ascii="Calibri" w:eastAsia="SimSun" w:hAnsi="Calibri" w:cs="Times New Roman"/>
                <w:lang w:eastAsia="zh-CN"/>
              </w:rPr>
              <w:t> </w:t>
            </w:r>
          </w:p>
          <w:p w14:paraId="3C5146C4"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r w:rsidRPr="00F64DCB">
              <w:rPr>
                <w:rFonts w:ascii="Calibri" w:eastAsia="SimSun" w:hAnsi="Calibri" w:cs="Times New Roman"/>
                <w:lang w:eastAsia="zh-CN"/>
              </w:rPr>
              <w:t xml:space="preserve">Register for </w:t>
            </w:r>
            <w:proofErr w:type="spellStart"/>
            <w:r w:rsidRPr="00F64DCB">
              <w:rPr>
                <w:rFonts w:ascii="Calibri" w:eastAsia="SimSun" w:hAnsi="Calibri" w:cs="Times New Roman"/>
                <w:lang w:eastAsia="zh-CN"/>
              </w:rPr>
              <w:t>OpenAthens</w:t>
            </w:r>
            <w:proofErr w:type="spellEnd"/>
            <w:r w:rsidRPr="00F64DCB">
              <w:rPr>
                <w:rFonts w:ascii="Calibri" w:eastAsia="SimSun" w:hAnsi="Calibri" w:cs="Times New Roman"/>
                <w:lang w:eastAsia="zh-CN"/>
              </w:rPr>
              <w:t xml:space="preserve"> to access e-resources:</w:t>
            </w:r>
          </w:p>
          <w:p w14:paraId="151491D7"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hyperlink r:id="rId36" w:history="1">
              <w:r w:rsidRPr="00F64DCB">
                <w:rPr>
                  <w:rFonts w:ascii="Calibri" w:eastAsia="SimSun" w:hAnsi="Calibri" w:cs="Times New Roman"/>
                  <w:color w:val="0000FF"/>
                  <w:u w:val="single"/>
                  <w:lang w:eastAsia="zh-CN"/>
                </w:rPr>
                <w:t>https://openathens.nice.org.uk/</w:t>
              </w:r>
            </w:hyperlink>
          </w:p>
          <w:p w14:paraId="512BA744"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r w:rsidRPr="00F64DCB">
              <w:rPr>
                <w:rFonts w:ascii="Calibri" w:eastAsia="SimSun" w:hAnsi="Calibri" w:cs="Times New Roman"/>
                <w:lang w:eastAsia="zh-CN"/>
              </w:rPr>
              <w:t> </w:t>
            </w:r>
          </w:p>
          <w:p w14:paraId="12BCC475"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r w:rsidRPr="00F64DCB">
              <w:rPr>
                <w:rFonts w:ascii="Calibri" w:eastAsia="SimSun" w:hAnsi="Calibri" w:cs="Times New Roman"/>
                <w:lang w:eastAsia="zh-CN"/>
              </w:rPr>
              <w:t xml:space="preserve">Bulletin content based partly on CASH (Current Awareness Service for Health) </w:t>
            </w:r>
            <w:hyperlink r:id="rId37" w:history="1">
              <w:r w:rsidRPr="00F64DCB">
                <w:rPr>
                  <w:rFonts w:ascii="Calibri" w:eastAsia="SimSun" w:hAnsi="Calibri" w:cs="Times New Roman"/>
                  <w:color w:val="0000FF"/>
                  <w:u w:val="single"/>
                  <w:lang w:eastAsia="zh-CN"/>
                </w:rPr>
                <w:t>here</w:t>
              </w:r>
            </w:hyperlink>
          </w:p>
          <w:p w14:paraId="6EC96D6E"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r w:rsidRPr="00F64DCB">
              <w:rPr>
                <w:rFonts w:ascii="Calibri" w:eastAsia="SimSun" w:hAnsi="Calibri" w:cs="Times New Roman"/>
                <w:lang w:eastAsia="zh-CN"/>
              </w:rPr>
              <w:t> </w:t>
            </w:r>
          </w:p>
          <w:p w14:paraId="40780641"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r w:rsidRPr="00F64DCB">
              <w:rPr>
                <w:rFonts w:ascii="Calibri" w:eastAsia="SimSun" w:hAnsi="Calibri" w:cs="Times New Roman"/>
                <w:lang w:eastAsia="zh-CN"/>
              </w:rPr>
              <w:t xml:space="preserve">To subscribe/unsubscribe from this bulletin please email </w:t>
            </w:r>
            <w:hyperlink r:id="rId38" w:history="1">
              <w:r w:rsidRPr="00F64DCB">
                <w:rPr>
                  <w:rFonts w:ascii="Calibri" w:eastAsia="SimSun" w:hAnsi="Calibri" w:cs="Times New Roman"/>
                  <w:color w:val="0000FF"/>
                  <w:u w:val="single"/>
                  <w:lang w:eastAsia="zh-CN"/>
                </w:rPr>
                <w:t>library@ouh.nhs.uk</w:t>
              </w:r>
            </w:hyperlink>
            <w:r w:rsidRPr="00F64DCB">
              <w:rPr>
                <w:rFonts w:ascii="Calibri" w:eastAsia="SimSun" w:hAnsi="Calibri" w:cs="Times New Roman"/>
                <w:lang w:eastAsia="zh-CN"/>
              </w:rPr>
              <w:t xml:space="preserve"> or reply to this email.</w:t>
            </w:r>
          </w:p>
          <w:p w14:paraId="5794B7AA"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r w:rsidRPr="00F64DCB">
              <w:rPr>
                <w:rFonts w:ascii="Calibri" w:eastAsia="SimSun" w:hAnsi="Calibri" w:cs="Times New Roman"/>
                <w:sz w:val="14"/>
                <w:szCs w:val="14"/>
                <w:lang w:eastAsia="zh-CN"/>
              </w:rPr>
              <w:t> </w:t>
            </w:r>
          </w:p>
          <w:p w14:paraId="7F56DC9B" w14:textId="77777777" w:rsidR="00F64DCB" w:rsidRPr="00F64DCB" w:rsidRDefault="00F64DCB" w:rsidP="00F64DCB">
            <w:pPr>
              <w:spacing w:after="0" w:line="240" w:lineRule="auto"/>
              <w:jc w:val="center"/>
              <w:rPr>
                <w:rFonts w:ascii="Times New Roman" w:eastAsia="SimSun" w:hAnsi="Times New Roman" w:cs="Times New Roman"/>
                <w:sz w:val="24"/>
                <w:szCs w:val="24"/>
                <w:lang w:eastAsia="zh-CN"/>
              </w:rPr>
            </w:pPr>
            <w:r w:rsidRPr="00F64DCB">
              <w:rPr>
                <w:rFonts w:ascii="Times New Roman" w:eastAsia="SimSun" w:hAnsi="Times New Roman" w:cs="Times New Roman"/>
                <w:sz w:val="16"/>
                <w:szCs w:val="16"/>
                <w:lang w:eastAsia="zh-CN"/>
              </w:rPr>
              <w:t xml:space="preserve">Please see our privacy notice </w:t>
            </w:r>
            <w:r w:rsidRPr="00F64DCB">
              <w:rPr>
                <w:rFonts w:ascii="Times New Roman" w:eastAsia="SimSun" w:hAnsi="Times New Roman" w:cs="Times New Roman"/>
                <w:sz w:val="24"/>
                <w:szCs w:val="24"/>
                <w:lang w:eastAsia="zh-CN"/>
              </w:rPr>
              <w:t> </w:t>
            </w:r>
            <w:hyperlink r:id="rId39" w:history="1">
              <w:r w:rsidRPr="00F64DCB">
                <w:rPr>
                  <w:rFonts w:ascii="Times New Roman" w:eastAsia="SimSun" w:hAnsi="Times New Roman" w:cs="Times New Roman"/>
                  <w:color w:val="0000FF"/>
                  <w:sz w:val="16"/>
                  <w:szCs w:val="16"/>
                  <w:u w:val="single"/>
                  <w:lang w:eastAsia="zh-CN"/>
                </w:rPr>
                <w:t>https://libguides.bodleian.ox.ac.uk/Keeping_up_to_date/privacynotice</w:t>
              </w:r>
            </w:hyperlink>
            <w:r w:rsidRPr="00F64DCB">
              <w:rPr>
                <w:rFonts w:ascii="Times New Roman" w:eastAsia="SimSun" w:hAnsi="Times New Roman" w:cs="Times New Roman"/>
                <w:sz w:val="16"/>
                <w:szCs w:val="16"/>
                <w:lang w:eastAsia="zh-CN"/>
              </w:rPr>
              <w:t xml:space="preserve">  </w:t>
            </w:r>
          </w:p>
        </w:tc>
      </w:tr>
    </w:tbl>
    <w:p w14:paraId="161A11A2" w14:textId="77777777" w:rsidR="00F64DCB" w:rsidRPr="00F64DCB" w:rsidRDefault="00F64DCB" w:rsidP="00F64DCB">
      <w:pPr>
        <w:spacing w:after="0" w:line="240" w:lineRule="auto"/>
        <w:rPr>
          <w:rFonts w:ascii="Times New Roman" w:eastAsia="SimSun" w:hAnsi="Times New Roman" w:cs="Times New Roman"/>
          <w:sz w:val="24"/>
          <w:szCs w:val="24"/>
          <w:lang w:eastAsia="zh-CN"/>
        </w:rPr>
      </w:pPr>
      <w:r w:rsidRPr="00F64DCB">
        <w:rPr>
          <w:rFonts w:ascii="Calibri" w:eastAsia="SimSun" w:hAnsi="Calibri" w:cs="Times New Roman"/>
          <w:sz w:val="24"/>
          <w:szCs w:val="24"/>
          <w:lang w:eastAsia="zh-CN"/>
        </w:rPr>
        <w:lastRenderedPageBreak/>
        <w:t> </w:t>
      </w:r>
    </w:p>
    <w:p w14:paraId="01234261" w14:textId="77777777" w:rsidR="006E5E26" w:rsidRDefault="006E5E26"/>
    <w:sectPr w:rsidR="006E5E26" w:rsidSect="00F64DCB">
      <w:pgSz w:w="11906" w:h="16838"/>
      <w:pgMar w:top="851"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CB"/>
    <w:rsid w:val="006E5E26"/>
    <w:rsid w:val="00F64DCB"/>
    <w:rsid w:val="00FB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DAE3"/>
  <w15:chartTrackingRefBased/>
  <w15:docId w15:val="{212CE6AD-B97E-45B9-90CD-DBF2989A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00802">
      <w:bodyDiv w:val="1"/>
      <w:marLeft w:val="0"/>
      <w:marRight w:val="0"/>
      <w:marTop w:val="0"/>
      <w:marBottom w:val="0"/>
      <w:divBdr>
        <w:top w:val="none" w:sz="0" w:space="0" w:color="auto"/>
        <w:left w:val="none" w:sz="0" w:space="0" w:color="auto"/>
        <w:bottom w:val="none" w:sz="0" w:space="0" w:color="auto"/>
        <w:right w:val="none" w:sz="0" w:space="0" w:color="auto"/>
      </w:divBdr>
    </w:div>
    <w:div w:id="1481994737">
      <w:bodyDiv w:val="1"/>
      <w:marLeft w:val="0"/>
      <w:marRight w:val="0"/>
      <w:marTop w:val="0"/>
      <w:marBottom w:val="0"/>
      <w:divBdr>
        <w:top w:val="none" w:sz="0" w:space="0" w:color="auto"/>
        <w:left w:val="none" w:sz="0" w:space="0" w:color="auto"/>
        <w:bottom w:val="none" w:sz="0" w:space="0" w:color="auto"/>
        <w:right w:val="none" w:sz="0" w:space="0" w:color="auto"/>
      </w:divBdr>
    </w:div>
    <w:div w:id="190613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159/000493358" TargetMode="External"/><Relationship Id="rId18" Type="http://schemas.openxmlformats.org/officeDocument/2006/relationships/hyperlink" Target="vhttps://www.sciencedirect.com/science/article/pii/S0020748918302487?via%3Dihub" TargetMode="External"/><Relationship Id="rId26" Type="http://schemas.openxmlformats.org/officeDocument/2006/relationships/hyperlink" Target="https://doi.org/10.1177/0885066619827270" TargetMode="External"/><Relationship Id="rId39" Type="http://schemas.openxmlformats.org/officeDocument/2006/relationships/hyperlink" Target="https://libguides.bodleian.ox.ac.uk/Keeping_up_to_date/privacynotice" TargetMode="External"/><Relationship Id="rId3" Type="http://schemas.openxmlformats.org/officeDocument/2006/relationships/settings" Target="settings.xml"/><Relationship Id="rId21" Type="http://schemas.openxmlformats.org/officeDocument/2006/relationships/hyperlink" Target="http://www.bloodjournal.org/cgi/pmidlookup?view=long&amp;pmid=7632965" TargetMode="External"/><Relationship Id="rId34" Type="http://schemas.openxmlformats.org/officeDocument/2006/relationships/hyperlink" Target="mailto:hcl-enquiries@bodleian.ox.ac.uk" TargetMode="External"/><Relationship Id="rId7" Type="http://schemas.openxmlformats.org/officeDocument/2006/relationships/hyperlink" Target="https://ox.libguides.com/ld.php?content_id=31673730" TargetMode="External"/><Relationship Id="rId12" Type="http://schemas.openxmlformats.org/officeDocument/2006/relationships/hyperlink" Target="https://www.journalofhospitalinfection.com/article/S0195-6701(19)30051-9/fulltext" TargetMode="External"/><Relationship Id="rId17" Type="http://schemas.openxmlformats.org/officeDocument/2006/relationships/hyperlink" Target="https://doi.org/10.1001/jamapediatrics.2018.4839" TargetMode="External"/><Relationship Id="rId25" Type="http://schemas.openxmlformats.org/officeDocument/2006/relationships/hyperlink" Target="https://doi.org/10.1186/s13613-019-0495-x" TargetMode="External"/><Relationship Id="rId33" Type="http://schemas.openxmlformats.org/officeDocument/2006/relationships/hyperlink" Target="https://www.ncbi.nlm.nih.gov/pmc/articles/PMC6091069/" TargetMode="External"/><Relationship Id="rId38" Type="http://schemas.openxmlformats.org/officeDocument/2006/relationships/hyperlink" Target="mailto:library@ouh.nhs.uk" TargetMode="External"/><Relationship Id="rId2" Type="http://schemas.openxmlformats.org/officeDocument/2006/relationships/styles" Target="styles.xml"/><Relationship Id="rId16" Type="http://schemas.openxmlformats.org/officeDocument/2006/relationships/hyperlink" Target="https://doi.org/10.1007/s12098-018-2659-3" TargetMode="External"/><Relationship Id="rId20" Type="http://schemas.openxmlformats.org/officeDocument/2006/relationships/hyperlink" Target="http://www.clinmed.rcpjournal.org/content/18/1/62.full.pdf+html" TargetMode="External"/><Relationship Id="rId29" Type="http://schemas.openxmlformats.org/officeDocument/2006/relationships/hyperlink" Target="https://doi.org/10.1016/j.mpsur.2018.11.00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libguides.bodleian.ox.ac.uk/Keeping_up_to_date" TargetMode="External"/><Relationship Id="rId11" Type="http://schemas.openxmlformats.org/officeDocument/2006/relationships/hyperlink" Target="https://doi.org/10.1016/j.ajic.2018.12.025" TargetMode="External"/><Relationship Id="rId24" Type="http://schemas.openxmlformats.org/officeDocument/2006/relationships/hyperlink" Target="https://escholarship.org/uc/item/72w8j3fh" TargetMode="External"/><Relationship Id="rId32" Type="http://schemas.openxmlformats.org/officeDocument/2006/relationships/hyperlink" Target="https://doi.org/10.1016/j.amjsurg.2019.01.036" TargetMode="External"/><Relationship Id="rId37" Type="http://schemas.openxmlformats.org/officeDocument/2006/relationships/hyperlink" Target="http://cash.libraryservices.nhs.uk/subject-a-z/s/sepsis/" TargetMode="External"/><Relationship Id="rId40" Type="http://schemas.openxmlformats.org/officeDocument/2006/relationships/fontTable" Target="fontTable.xml"/><Relationship Id="rId5" Type="http://schemas.openxmlformats.org/officeDocument/2006/relationships/hyperlink" Target="http://libguides.bodleian.ox.ac.uk/Keeping_up_to_date" TargetMode="External"/><Relationship Id="rId15" Type="http://schemas.openxmlformats.org/officeDocument/2006/relationships/hyperlink" Target="vhttps://www.sciencedirect.com/science/article/pii/S0020748918302487?via%3Dihub" TargetMode="External"/><Relationship Id="rId23" Type="http://schemas.openxmlformats.org/officeDocument/2006/relationships/hyperlink" Target="vhttps://www.sciencedirect.com/science/article/pii/S0020748918302487?via%3Dihub" TargetMode="External"/><Relationship Id="rId28" Type="http://schemas.openxmlformats.org/officeDocument/2006/relationships/hyperlink" Target="vhttps://www.sciencedirect.com/science/article/pii/S0020748918302487?via%3Dihub" TargetMode="External"/><Relationship Id="rId36" Type="http://schemas.openxmlformats.org/officeDocument/2006/relationships/hyperlink" Target="https://openathens.nice.org.uk/" TargetMode="External"/><Relationship Id="rId10" Type="http://schemas.openxmlformats.org/officeDocument/2006/relationships/hyperlink" Target="https://www.sciencedirect.com/science/article/pii/S0031395518301901" TargetMode="External"/><Relationship Id="rId19" Type="http://schemas.openxmlformats.org/officeDocument/2006/relationships/hyperlink" Target="https://doi.org/10.1111/iwj.13079" TargetMode="External"/><Relationship Id="rId31" Type="http://schemas.openxmlformats.org/officeDocument/2006/relationships/hyperlink" Target="vhttps://www.sciencedirect.com/science/article/pii/S0020748918302487?via%3Dihub" TargetMode="External"/><Relationship Id="rId4" Type="http://schemas.openxmlformats.org/officeDocument/2006/relationships/webSettings" Target="webSettings.xml"/><Relationship Id="rId9" Type="http://schemas.openxmlformats.org/officeDocument/2006/relationships/image" Target="cid:image001.jpg@01D4C46E.1F4A0BA0" TargetMode="External"/><Relationship Id="rId14" Type="http://schemas.openxmlformats.org/officeDocument/2006/relationships/hyperlink" Target="vhttps://www.sciencedirect.com/science/article/pii/S0020748918302487?via%3Dihub" TargetMode="External"/><Relationship Id="rId22" Type="http://schemas.openxmlformats.org/officeDocument/2006/relationships/hyperlink" Target="vhttps://www.sciencedirect.com/science/article/pii/S0020748918302487?via%3Dihub" TargetMode="External"/><Relationship Id="rId27" Type="http://schemas.openxmlformats.org/officeDocument/2006/relationships/hyperlink" Target="vhttps://www.sciencedirect.com/science/article/pii/S0020748918302487?via%3Dihub" TargetMode="External"/><Relationship Id="rId30" Type="http://schemas.openxmlformats.org/officeDocument/2006/relationships/hyperlink" Target="vhttps://www.sciencedirect.com/science/article/pii/S0020748918302487?via%3Dihub" TargetMode="External"/><Relationship Id="rId35" Type="http://schemas.openxmlformats.org/officeDocument/2006/relationships/hyperlink" Target="http://www.bodleian.ox.ac.uk/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4362-CBB1-4024-A794-2C395BFD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3514</Words>
  <Characters>20030</Characters>
  <Application>Microsoft Office Word</Application>
  <DocSecurity>0</DocSecurity>
  <Lines>166</Lines>
  <Paragraphs>46</Paragraphs>
  <ScaleCrop>false</ScaleCrop>
  <Company/>
  <LinksUpToDate>false</LinksUpToDate>
  <CharactersWithSpaces>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Garner</dc:creator>
  <cp:keywords/>
  <dc:description/>
  <cp:lastModifiedBy>Amanda Garner</cp:lastModifiedBy>
  <cp:revision>1</cp:revision>
  <cp:lastPrinted>2019-02-18T13:34:00Z</cp:lastPrinted>
  <dcterms:created xsi:type="dcterms:W3CDTF">2019-02-18T13:30:00Z</dcterms:created>
  <dcterms:modified xsi:type="dcterms:W3CDTF">2019-02-18T13:36:00Z</dcterms:modified>
</cp:coreProperties>
</file>